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4250C" w14:textId="375C986B" w:rsidR="004E1718" w:rsidRPr="006453D9" w:rsidRDefault="00D577D3" w:rsidP="004E1718">
      <w:pPr>
        <w:pStyle w:val="MDPI11articletype"/>
      </w:pPr>
      <w:r>
        <w:t>Article</w:t>
      </w:r>
    </w:p>
    <w:p w14:paraId="392E26B6" w14:textId="2885EFBD" w:rsidR="004E1718" w:rsidRPr="003B1AF1" w:rsidRDefault="00D577D3" w:rsidP="004E1718">
      <w:pPr>
        <w:pStyle w:val="MDPI12title"/>
      </w:pPr>
      <w:r>
        <w:t>Development of disposable and flexible supercapacitor based on carbonaceous and ecofriendly materials</w:t>
      </w:r>
    </w:p>
    <w:p w14:paraId="3A8FD66E" w14:textId="4433E8D2" w:rsidR="00293382" w:rsidRDefault="00D577D3" w:rsidP="004E1718">
      <w:pPr>
        <w:pStyle w:val="MDPI13authornames"/>
      </w:pPr>
      <w:r>
        <w:t xml:space="preserve">Giovanni G. Daniele </w:t>
      </w:r>
      <w:r w:rsidR="004E1718" w:rsidRPr="001F31D1">
        <w:rPr>
          <w:vertAlign w:val="superscript"/>
        </w:rPr>
        <w:t>1</w:t>
      </w:r>
      <w:r w:rsidR="004E1718" w:rsidRPr="00D945EC">
        <w:t xml:space="preserve">, </w:t>
      </w:r>
      <w:r>
        <w:t xml:space="preserve">Daniel C. de Souza </w:t>
      </w:r>
      <w:r>
        <w:rPr>
          <w:vertAlign w:val="superscript"/>
        </w:rPr>
        <w:t>1</w:t>
      </w:r>
      <w:r>
        <w:t>, Luiz O. Orzari</w:t>
      </w:r>
      <w:r w:rsidR="004E1718" w:rsidRPr="00D945EC">
        <w:t xml:space="preserve"> </w:t>
      </w:r>
      <w:r>
        <w:rPr>
          <w:vertAlign w:val="superscript"/>
        </w:rPr>
        <w:t>1,2</w:t>
      </w:r>
      <w:r w:rsidRPr="00D577D3">
        <w:t>,</w:t>
      </w:r>
      <w:r>
        <w:t xml:space="preserve"> Rodrigo V. </w:t>
      </w:r>
      <w:proofErr w:type="spellStart"/>
      <w:r>
        <w:t>Blasques</w:t>
      </w:r>
      <w:proofErr w:type="spellEnd"/>
      <w:r>
        <w:t xml:space="preserve"> </w:t>
      </w:r>
      <w:r>
        <w:rPr>
          <w:vertAlign w:val="superscript"/>
        </w:rPr>
        <w:t>1,2</w:t>
      </w:r>
      <w:r>
        <w:t xml:space="preserve">, Rafael L. </w:t>
      </w:r>
      <w:proofErr w:type="spellStart"/>
      <w:r>
        <w:t>Germscheidt</w:t>
      </w:r>
      <w:proofErr w:type="spellEnd"/>
      <w:r>
        <w:rPr>
          <w:vertAlign w:val="superscript"/>
        </w:rPr>
        <w:t xml:space="preserve"> 3</w:t>
      </w:r>
      <w:r>
        <w:t xml:space="preserve">, </w:t>
      </w:r>
      <w:proofErr w:type="spellStart"/>
      <w:r>
        <w:t>Emilly</w:t>
      </w:r>
      <w:proofErr w:type="spellEnd"/>
      <w:r>
        <w:t xml:space="preserve"> C. da Silva </w:t>
      </w:r>
      <w:r>
        <w:rPr>
          <w:vertAlign w:val="superscript"/>
        </w:rPr>
        <w:t>4</w:t>
      </w:r>
      <w:r>
        <w:t xml:space="preserve">, Leandro A. </w:t>
      </w:r>
      <w:proofErr w:type="spellStart"/>
      <w:r>
        <w:t>Pocrifka</w:t>
      </w:r>
      <w:proofErr w:type="spellEnd"/>
      <w:r>
        <w:rPr>
          <w:vertAlign w:val="superscript"/>
        </w:rPr>
        <w:t xml:space="preserve"> 4</w:t>
      </w:r>
      <w:r>
        <w:t xml:space="preserve">, </w:t>
      </w:r>
      <w:proofErr w:type="spellStart"/>
      <w:r>
        <w:t>Juliano</w:t>
      </w:r>
      <w:proofErr w:type="spellEnd"/>
      <w:r>
        <w:t xml:space="preserve"> A. </w:t>
      </w:r>
      <w:proofErr w:type="spellStart"/>
      <w:r>
        <w:t>Bonacin</w:t>
      </w:r>
      <w:proofErr w:type="spellEnd"/>
      <w:r>
        <w:rPr>
          <w:vertAlign w:val="superscript"/>
        </w:rPr>
        <w:t xml:space="preserve"> 3</w:t>
      </w:r>
      <w:r>
        <w:t xml:space="preserve"> and Bruno C. </w:t>
      </w:r>
      <w:proofErr w:type="spellStart"/>
      <w:r>
        <w:t>Janegitz</w:t>
      </w:r>
      <w:proofErr w:type="spellEnd"/>
      <w:r>
        <w:t xml:space="preserve"> </w:t>
      </w:r>
      <w:r>
        <w:rPr>
          <w:vertAlign w:val="superscript"/>
        </w:rPr>
        <w:t>1,</w:t>
      </w:r>
      <w:r w:rsidRPr="00331633">
        <w:t>*</w:t>
      </w:r>
    </w:p>
    <w:tbl>
      <w:tblPr>
        <w:tblpPr w:leftFromText="198" w:rightFromText="198" w:vertAnchor="page" w:horzAnchor="margin" w:tblpY="10194"/>
        <w:tblW w:w="2410" w:type="dxa"/>
        <w:tblLayout w:type="fixed"/>
        <w:tblCellMar>
          <w:left w:w="0" w:type="dxa"/>
          <w:right w:w="0" w:type="dxa"/>
        </w:tblCellMar>
        <w:tblLook w:val="04A0" w:firstRow="1" w:lastRow="0" w:firstColumn="1" w:lastColumn="0" w:noHBand="0" w:noVBand="1"/>
      </w:tblPr>
      <w:tblGrid>
        <w:gridCol w:w="2410"/>
      </w:tblGrid>
      <w:tr w:rsidR="00293382" w:rsidRPr="00CE602D" w14:paraId="04FE0766" w14:textId="77777777" w:rsidTr="007D1F55">
        <w:tc>
          <w:tcPr>
            <w:tcW w:w="2410" w:type="dxa"/>
            <w:shd w:val="clear" w:color="auto" w:fill="auto"/>
          </w:tcPr>
          <w:p w14:paraId="3B220A49" w14:textId="77777777" w:rsidR="00293382" w:rsidRPr="00C43510" w:rsidRDefault="00293382" w:rsidP="007D1F55">
            <w:pPr>
              <w:pStyle w:val="MDPI61Citation"/>
              <w:spacing w:after="120" w:line="240" w:lineRule="exact"/>
            </w:pPr>
            <w:r w:rsidRPr="00C43510">
              <w:rPr>
                <w:b/>
              </w:rPr>
              <w:t>Citation:</w:t>
            </w:r>
            <w:r w:rsidRPr="00CE602D">
              <w:t xml:space="preserve"> </w:t>
            </w:r>
            <w:proofErr w:type="spellStart"/>
            <w:r>
              <w:t>Lastname</w:t>
            </w:r>
            <w:proofErr w:type="spellEnd"/>
            <w:r>
              <w:t xml:space="preserve">, F.; </w:t>
            </w:r>
            <w:proofErr w:type="spellStart"/>
            <w:r>
              <w:t>Lastname</w:t>
            </w:r>
            <w:proofErr w:type="spellEnd"/>
            <w:r>
              <w:t xml:space="preserve">, F.; </w:t>
            </w:r>
            <w:proofErr w:type="spellStart"/>
            <w:r>
              <w:t>Lastname</w:t>
            </w:r>
            <w:proofErr w:type="spellEnd"/>
            <w:r>
              <w:t xml:space="preserve">, F. Title. </w:t>
            </w:r>
            <w:r w:rsidRPr="00BE2C00">
              <w:rPr>
                <w:i/>
                <w:iCs/>
              </w:rPr>
              <w:t>C</w:t>
            </w:r>
            <w:r>
              <w:rPr>
                <w:i/>
              </w:rPr>
              <w:t xml:space="preserve"> </w:t>
            </w:r>
            <w:r>
              <w:rPr>
                <w:b/>
              </w:rPr>
              <w:t>2022</w:t>
            </w:r>
            <w:r>
              <w:t>,</w:t>
            </w:r>
            <w:r>
              <w:rPr>
                <w:i/>
              </w:rPr>
              <w:t xml:space="preserve"> 8</w:t>
            </w:r>
            <w:r>
              <w:t>, x. https://doi.org/10.3390/xxxxx</w:t>
            </w:r>
          </w:p>
          <w:p w14:paraId="23F16192" w14:textId="77777777" w:rsidR="00293382" w:rsidRDefault="00293382" w:rsidP="007D1F55">
            <w:pPr>
              <w:pStyle w:val="MDPI15academiceditor"/>
              <w:spacing w:after="120"/>
            </w:pPr>
            <w:r>
              <w:t xml:space="preserve">Academic Editor: </w:t>
            </w:r>
            <w:proofErr w:type="spellStart"/>
            <w:r>
              <w:t>Firstname</w:t>
            </w:r>
            <w:proofErr w:type="spellEnd"/>
            <w:r>
              <w:t xml:space="preserve"> </w:t>
            </w:r>
            <w:proofErr w:type="spellStart"/>
            <w:r>
              <w:t>Lastname</w:t>
            </w:r>
            <w:proofErr w:type="spellEnd"/>
          </w:p>
          <w:p w14:paraId="7E38E9B7" w14:textId="77777777" w:rsidR="00293382" w:rsidRPr="00A44F93" w:rsidRDefault="00293382" w:rsidP="007D1F55">
            <w:pPr>
              <w:pStyle w:val="MDPI14history"/>
              <w:spacing w:before="120"/>
            </w:pPr>
            <w:r w:rsidRPr="00A44F93">
              <w:t>Received: date</w:t>
            </w:r>
          </w:p>
          <w:p w14:paraId="686AFCDA" w14:textId="77777777" w:rsidR="00293382" w:rsidRPr="00A44F93" w:rsidRDefault="00293382" w:rsidP="007D1F55">
            <w:pPr>
              <w:pStyle w:val="MDPI14history"/>
            </w:pPr>
            <w:r w:rsidRPr="00A44F93">
              <w:t>Accepted: date</w:t>
            </w:r>
          </w:p>
          <w:p w14:paraId="6B731C45" w14:textId="77777777" w:rsidR="00293382" w:rsidRPr="00A44F93" w:rsidRDefault="00293382" w:rsidP="007D1F55">
            <w:pPr>
              <w:pStyle w:val="MDPI14history"/>
              <w:spacing w:after="120"/>
            </w:pPr>
            <w:r w:rsidRPr="00A44F93">
              <w:t>Published: date</w:t>
            </w:r>
          </w:p>
          <w:p w14:paraId="3A10848B" w14:textId="77777777" w:rsidR="00293382" w:rsidRPr="00CE602D" w:rsidRDefault="00293382" w:rsidP="007D1F55">
            <w:pPr>
              <w:pStyle w:val="MDPI63Notes"/>
              <w:jc w:val="both"/>
            </w:pPr>
            <w:r w:rsidRPr="00CE602D">
              <w:rPr>
                <w:b/>
              </w:rPr>
              <w:t>Publisher’s Note:</w:t>
            </w:r>
            <w:r w:rsidRPr="00CE602D">
              <w:t xml:space="preserve"> MDPI stays neutral with regard to jurisdictional claims in published maps and institutional affiliations.</w:t>
            </w:r>
          </w:p>
          <w:p w14:paraId="26B99D8B" w14:textId="77777777" w:rsidR="00293382" w:rsidRPr="00CE602D" w:rsidRDefault="00293382" w:rsidP="007D1F55">
            <w:pPr>
              <w:adjustRightInd w:val="0"/>
              <w:snapToGrid w:val="0"/>
              <w:spacing w:before="120" w:line="240" w:lineRule="atLeast"/>
              <w:ind w:right="113"/>
              <w:jc w:val="left"/>
              <w:rPr>
                <w:rFonts w:eastAsia="DengXian"/>
                <w:bCs/>
                <w:sz w:val="14"/>
                <w:szCs w:val="14"/>
                <w:lang w:bidi="en-US"/>
              </w:rPr>
            </w:pPr>
            <w:r w:rsidRPr="00CE602D">
              <w:rPr>
                <w:rFonts w:eastAsia="DengXian"/>
              </w:rPr>
              <w:drawing>
                <wp:inline distT="0" distB="0" distL="0" distR="0" wp14:anchorId="35740ADF" wp14:editId="3FD1D132">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39DD9731" w14:textId="77777777" w:rsidR="00293382" w:rsidRPr="00CE602D" w:rsidRDefault="00293382" w:rsidP="007D1F55">
            <w:pPr>
              <w:adjustRightInd w:val="0"/>
              <w:snapToGrid w:val="0"/>
              <w:spacing w:before="60" w:line="240" w:lineRule="atLeast"/>
              <w:ind w:right="113"/>
              <w:rPr>
                <w:rFonts w:eastAsia="DengXian"/>
                <w:bCs/>
                <w:sz w:val="14"/>
                <w:szCs w:val="14"/>
                <w:lang w:bidi="en-US"/>
              </w:rPr>
            </w:pPr>
            <w:r w:rsidRPr="00CE602D">
              <w:rPr>
                <w:rFonts w:eastAsia="DengXian"/>
                <w:b/>
                <w:bCs/>
                <w:sz w:val="14"/>
                <w:szCs w:val="14"/>
                <w:lang w:bidi="en-US"/>
              </w:rPr>
              <w:t>Copyright:</w:t>
            </w:r>
            <w:r w:rsidRPr="00CE602D">
              <w:rPr>
                <w:rFonts w:eastAsia="DengXian"/>
                <w:bCs/>
                <w:sz w:val="14"/>
                <w:szCs w:val="14"/>
                <w:lang w:bidi="en-US"/>
              </w:rPr>
              <w:t xml:space="preserve"> </w:t>
            </w:r>
            <w:r>
              <w:rPr>
                <w:rFonts w:eastAsia="DengXian"/>
                <w:bCs/>
                <w:sz w:val="14"/>
                <w:szCs w:val="14"/>
                <w:lang w:bidi="en-US"/>
              </w:rPr>
              <w:t>© 2022</w:t>
            </w:r>
            <w:r w:rsidRPr="00CE602D">
              <w:rPr>
                <w:rFonts w:eastAsia="DengXian"/>
                <w:bCs/>
                <w:sz w:val="14"/>
                <w:szCs w:val="14"/>
                <w:lang w:bidi="en-US"/>
              </w:rPr>
              <w:t xml:space="preserve"> </w:t>
            </w:r>
            <w:r>
              <w:rPr>
                <w:rFonts w:eastAsia="DengXian"/>
                <w:bCs/>
                <w:sz w:val="14"/>
                <w:szCs w:val="14"/>
                <w:lang w:bidi="en-US"/>
              </w:rPr>
              <w:t xml:space="preserve">by the authors. Submitted for possible open access publication under the terms and conditions of the Creative Commons </w:t>
            </w:r>
            <w:r w:rsidRPr="00CE602D">
              <w:rPr>
                <w:rFonts w:eastAsia="DengXian"/>
                <w:bCs/>
                <w:sz w:val="14"/>
                <w:szCs w:val="14"/>
                <w:lang w:bidi="en-US"/>
              </w:rPr>
              <w:t>Attribution (CC BY) license (</w:t>
            </w:r>
            <w:r>
              <w:rPr>
                <w:rFonts w:eastAsia="DengXian"/>
                <w:bCs/>
                <w:sz w:val="14"/>
                <w:szCs w:val="14"/>
                <w:lang w:bidi="en-US"/>
              </w:rPr>
              <w:t>https://</w:t>
            </w:r>
            <w:r w:rsidRPr="00CE602D">
              <w:rPr>
                <w:rFonts w:eastAsia="DengXian"/>
                <w:bCs/>
                <w:sz w:val="14"/>
                <w:szCs w:val="14"/>
                <w:lang w:bidi="en-US"/>
              </w:rPr>
              <w:t>creativecommons.org/licenses/by/4.0/).</w:t>
            </w:r>
          </w:p>
        </w:tc>
      </w:tr>
    </w:tbl>
    <w:p w14:paraId="206E8A4E" w14:textId="43D1FF2F" w:rsidR="004E1718" w:rsidRPr="00D945EC" w:rsidRDefault="00A44F93" w:rsidP="004E1718">
      <w:pPr>
        <w:pStyle w:val="MDPI16affiliation"/>
      </w:pPr>
      <w:r w:rsidRPr="00A44F93">
        <w:rPr>
          <w:vertAlign w:val="superscript"/>
        </w:rPr>
        <w:t>1</w:t>
      </w:r>
      <w:r w:rsidR="004E1718" w:rsidRPr="00D945EC">
        <w:tab/>
      </w:r>
      <w:r w:rsidR="00D577D3">
        <w:t xml:space="preserve">Laboratory of Sensors, Nanomedicine and Nanostructured Materials, Federal University of São Carlos, </w:t>
      </w:r>
      <w:proofErr w:type="spellStart"/>
      <w:r w:rsidR="00D577D3">
        <w:t>Araras</w:t>
      </w:r>
      <w:proofErr w:type="spellEnd"/>
      <w:r w:rsidR="00D577D3">
        <w:t>, São Paulo, Brazil, 13600-970</w:t>
      </w:r>
    </w:p>
    <w:p w14:paraId="4BBC994B" w14:textId="22144C23" w:rsidR="004E1718" w:rsidRDefault="004E1718" w:rsidP="004E1718">
      <w:pPr>
        <w:pStyle w:val="MDPI16affiliation"/>
      </w:pPr>
      <w:r w:rsidRPr="00D945EC">
        <w:rPr>
          <w:vertAlign w:val="superscript"/>
        </w:rPr>
        <w:t>2</w:t>
      </w:r>
      <w:r w:rsidRPr="00D945EC">
        <w:tab/>
      </w:r>
      <w:r w:rsidR="00D577D3">
        <w:t>Department of Physics, Chemistry and Mathematics, Federal University of São Carlos, Sorocaba, São Paulo, Brazil, 18052-780</w:t>
      </w:r>
    </w:p>
    <w:p w14:paraId="255857C9" w14:textId="3E965E1A" w:rsidR="00D577D3" w:rsidRPr="00D945EC" w:rsidRDefault="00D577D3" w:rsidP="00D577D3">
      <w:pPr>
        <w:pStyle w:val="MDPI16affiliation"/>
      </w:pPr>
      <w:r>
        <w:rPr>
          <w:vertAlign w:val="superscript"/>
        </w:rPr>
        <w:t>3</w:t>
      </w:r>
      <w:r w:rsidRPr="00D945EC">
        <w:tab/>
      </w:r>
      <w:r>
        <w:t xml:space="preserve">Institute of Chemistry, University of Campinas, Campinas, São Paulo, </w:t>
      </w:r>
      <w:proofErr w:type="spellStart"/>
      <w:r>
        <w:t>Brasil</w:t>
      </w:r>
      <w:proofErr w:type="spellEnd"/>
      <w:r>
        <w:t xml:space="preserve">, </w:t>
      </w:r>
      <w:r w:rsidR="00956BE1">
        <w:t>13083-859</w:t>
      </w:r>
    </w:p>
    <w:p w14:paraId="3CDD3323" w14:textId="1EBC0A11" w:rsidR="00D577D3" w:rsidRPr="00D945EC" w:rsidRDefault="00D577D3" w:rsidP="00D577D3">
      <w:pPr>
        <w:pStyle w:val="MDPI16affiliation"/>
      </w:pPr>
      <w:r>
        <w:rPr>
          <w:vertAlign w:val="superscript"/>
        </w:rPr>
        <w:t>4</w:t>
      </w:r>
      <w:r w:rsidRPr="00D945EC">
        <w:tab/>
      </w:r>
      <w:r w:rsidR="00956BE1">
        <w:t>Laboratory of Electrochemistry and Energy, Chemistry Graduate Program of Federal University of Amazonas, Manaus, Amazonas, Brazil, 69067-005</w:t>
      </w:r>
    </w:p>
    <w:p w14:paraId="1D51AC9D" w14:textId="1F6FE914" w:rsidR="004E1718" w:rsidRPr="00550626" w:rsidRDefault="004E1718" w:rsidP="004E1718">
      <w:pPr>
        <w:pStyle w:val="MDPI16affiliation"/>
      </w:pPr>
      <w:r w:rsidRPr="00D95CBD">
        <w:rPr>
          <w:b/>
        </w:rPr>
        <w:t>*</w:t>
      </w:r>
      <w:r w:rsidRPr="00D945EC">
        <w:tab/>
        <w:t xml:space="preserve">Correspondence: </w:t>
      </w:r>
      <w:r w:rsidR="00956BE1">
        <w:t>brunocj@ufscar.br</w:t>
      </w:r>
    </w:p>
    <w:p w14:paraId="5E621477" w14:textId="241E2BD0" w:rsidR="002956A2" w:rsidRPr="002956A2" w:rsidRDefault="004E1718" w:rsidP="002956A2">
      <w:pPr>
        <w:pStyle w:val="MDPI17abstract"/>
      </w:pPr>
      <w:r w:rsidRPr="00550626">
        <w:rPr>
          <w:b/>
          <w:szCs w:val="18"/>
        </w:rPr>
        <w:t xml:space="preserve">Abstract: </w:t>
      </w:r>
      <w:r w:rsidR="002956A2" w:rsidRPr="002956A2">
        <w:t xml:space="preserve">A novel flexible supercapacitor device was developed from a polyethylene terephthalate substrate, reused from beverage bottles, and a conductive ink based on carbon black (CB) and cellulose acetate (CA). The weight composition of the conductive ink was evaluated to determine the best mass percentage ratio between CB and CA in terms of capacitive behavior. The evaluation was performed by using different electrochemical techniques: cyclic voltammetry, obtaining the highest capacitance value for the device with the 66.7/33.3 </w:t>
      </w:r>
      <w:proofErr w:type="spellStart"/>
      <w:r w:rsidR="002956A2" w:rsidRPr="002956A2">
        <w:t>wt</w:t>
      </w:r>
      <w:proofErr w:type="spellEnd"/>
      <w:r w:rsidR="002956A2" w:rsidRPr="002956A2">
        <w:t>% CB/ CA in a basic H</w:t>
      </w:r>
      <w:r w:rsidR="002956A2" w:rsidRPr="002956A2">
        <w:rPr>
          <w:vertAlign w:val="subscript"/>
        </w:rPr>
        <w:t>2</w:t>
      </w:r>
      <w:r w:rsidR="002956A2" w:rsidRPr="002956A2">
        <w:t>SO</w:t>
      </w:r>
      <w:r w:rsidR="002956A2" w:rsidRPr="002956A2">
        <w:rPr>
          <w:vertAlign w:val="subscript"/>
        </w:rPr>
        <w:t>4</w:t>
      </w:r>
      <w:r w:rsidR="002956A2" w:rsidRPr="002956A2">
        <w:t xml:space="preserve"> solution, reaching 135.64 F g</w:t>
      </w:r>
      <w:r w:rsidR="002956A2" w:rsidRPr="002956A2">
        <w:rPr>
          <w:rFonts w:ascii="Symbol" w:hAnsi="Symbol"/>
          <w:vertAlign w:val="superscript"/>
        </w:rPr>
        <w:t>-</w:t>
      </w:r>
      <w:r w:rsidR="002956A2" w:rsidRPr="002956A2">
        <w:rPr>
          <w:vertAlign w:val="superscript"/>
        </w:rPr>
        <w:t>1</w:t>
      </w:r>
      <w:r w:rsidR="002956A2" w:rsidRPr="002956A2">
        <w:t xml:space="preserve">. The device was applied in </w:t>
      </w:r>
      <w:proofErr w:type="spellStart"/>
      <w:r w:rsidR="002956A2" w:rsidRPr="002956A2">
        <w:t>potentiostatic</w:t>
      </w:r>
      <w:proofErr w:type="spellEnd"/>
      <w:r w:rsidR="002956A2" w:rsidRPr="002956A2">
        <w:t xml:space="preserve"> charge/discharge measurements, achieving values of 2.45 </w:t>
      </w:r>
      <w:proofErr w:type="spellStart"/>
      <w:r w:rsidR="002956A2" w:rsidRPr="002956A2">
        <w:t>Wh</w:t>
      </w:r>
      <w:proofErr w:type="spellEnd"/>
      <w:r w:rsidR="002956A2" w:rsidRPr="002956A2">
        <w:t xml:space="preserve"> Kg</w:t>
      </w:r>
      <w:r w:rsidR="002956A2" w:rsidRPr="002956A2">
        <w:rPr>
          <w:rFonts w:ascii="Symbol" w:hAnsi="Symbol"/>
          <w:vertAlign w:val="superscript"/>
        </w:rPr>
        <w:t>-</w:t>
      </w:r>
      <w:r w:rsidR="002956A2" w:rsidRPr="002956A2">
        <w:rPr>
          <w:vertAlign w:val="superscript"/>
        </w:rPr>
        <w:t>1</w:t>
      </w:r>
      <w:r w:rsidR="002956A2" w:rsidRPr="002956A2">
        <w:t xml:space="preserve"> for specific energy and around 1000 W Kg</w:t>
      </w:r>
      <w:r w:rsidR="002956A2" w:rsidRPr="002956A2">
        <w:rPr>
          <w:rFonts w:ascii="Symbol" w:hAnsi="Symbol"/>
          <w:vertAlign w:val="superscript"/>
        </w:rPr>
        <w:t>-</w:t>
      </w:r>
      <w:r w:rsidR="002956A2" w:rsidRPr="002956A2">
        <w:rPr>
          <w:vertAlign w:val="superscript"/>
        </w:rPr>
        <w:t>1</w:t>
      </w:r>
      <w:r w:rsidR="002956A2" w:rsidRPr="002956A2">
        <w:t xml:space="preserve"> for specific power. Therefore, corroborated with electrochemical impedance spectroscopy essays, the relatively low-price proposed device presented a suitable performance for application as supercapacitors, being manufactured from reused materials, contributing to the energy storage field enhancement.</w:t>
      </w:r>
    </w:p>
    <w:p w14:paraId="7D57CD61" w14:textId="5ECAF726" w:rsidR="004E1718" w:rsidRPr="00550626" w:rsidRDefault="004E1718" w:rsidP="004E1718">
      <w:pPr>
        <w:pStyle w:val="MDPI18keywords"/>
        <w:rPr>
          <w:szCs w:val="18"/>
        </w:rPr>
      </w:pPr>
      <w:r w:rsidRPr="00550626">
        <w:rPr>
          <w:b/>
          <w:szCs w:val="18"/>
        </w:rPr>
        <w:t xml:space="preserve">Keywords: </w:t>
      </w:r>
      <w:r w:rsidR="002956A2" w:rsidRPr="002956A2">
        <w:t>Disposable device; Supercapacitor; Carbon material; Carbon Black; Cellulose Acetate.</w:t>
      </w:r>
    </w:p>
    <w:p w14:paraId="2C6EF973" w14:textId="77777777" w:rsidR="004E1718" w:rsidRPr="00550626" w:rsidRDefault="004E1718" w:rsidP="004E1718">
      <w:pPr>
        <w:pStyle w:val="MDPI19line"/>
      </w:pPr>
    </w:p>
    <w:p w14:paraId="17781FE1" w14:textId="77777777" w:rsidR="004E1718" w:rsidRDefault="004E1718" w:rsidP="004E1718">
      <w:pPr>
        <w:pStyle w:val="MDPI21heading1"/>
        <w:rPr>
          <w:lang w:eastAsia="zh-CN"/>
        </w:rPr>
      </w:pPr>
      <w:r w:rsidRPr="007F2582">
        <w:rPr>
          <w:lang w:eastAsia="zh-CN"/>
        </w:rPr>
        <w:t>1. Introduction</w:t>
      </w:r>
    </w:p>
    <w:p w14:paraId="559D6FA5" w14:textId="77777777" w:rsidR="002956A2" w:rsidRPr="00F51A4C" w:rsidRDefault="002956A2" w:rsidP="002956A2">
      <w:pPr>
        <w:pStyle w:val="MDPI31text"/>
      </w:pPr>
      <w:r w:rsidRPr="00F51A4C">
        <w:t>The energy issue has been one of the great discussions around the world due to the depletion of fossil fuels, which has attracted the search for new sources of energy conversion and storage. This issue arises from the constant demand for fast, economically efficient</w:t>
      </w:r>
      <w:r>
        <w:t>,</w:t>
      </w:r>
      <w:r w:rsidRPr="00F51A4C">
        <w:t xml:space="preserve"> and ecologically correct technological devices, to meet the world</w:t>
      </w:r>
      <w:r>
        <w:t>'s</w:t>
      </w:r>
      <w:r w:rsidRPr="00F51A4C">
        <w:t xml:space="preserve"> growing population</w:t>
      </w:r>
      <w:r>
        <w:t>'s</w:t>
      </w:r>
      <w:r w:rsidRPr="00F51A4C">
        <w:t xml:space="preserve"> desire for frequent information </w:t>
      </w:r>
      <w:r w:rsidRPr="00F51A4C">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F51A4C">
        <w:instrText xml:space="preserve"> ADDIN EN.CITE </w:instrText>
      </w:r>
      <w:r w:rsidRPr="00F51A4C">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Pr="00F51A4C">
        <w:instrText xml:space="preserve"> ADDIN EN.CITE.DATA </w:instrText>
      </w:r>
      <w:r w:rsidRPr="00F51A4C">
        <w:fldChar w:fldCharType="end"/>
      </w:r>
      <w:r w:rsidRPr="00F51A4C">
        <w:fldChar w:fldCharType="separate"/>
      </w:r>
      <w:r w:rsidRPr="00F51A4C">
        <w:rPr>
          <w:noProof/>
        </w:rPr>
        <w:t>[1-3]</w:t>
      </w:r>
      <w:r w:rsidRPr="00F51A4C">
        <w:fldChar w:fldCharType="end"/>
      </w:r>
      <w:r w:rsidRPr="00F51A4C">
        <w:t>. In such</w:t>
      </w:r>
      <w:r>
        <w:t xml:space="preserve"> </w:t>
      </w:r>
      <w:r w:rsidRPr="00F51A4C">
        <w:t xml:space="preserve">industry, electrochemical energy conversion systems function as key technologies, allowing the management of renewable energy while diminishing the pollution caused by other sources, such as the greenhouse effect </w:t>
      </w:r>
      <w:r w:rsidRPr="00F51A4C">
        <w:fldChar w:fldCharType="begin"/>
      </w:r>
      <w:r w:rsidRPr="00F51A4C">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Pr="00F51A4C">
        <w:fldChar w:fldCharType="separate"/>
      </w:r>
      <w:r w:rsidRPr="00F51A4C">
        <w:rPr>
          <w:noProof/>
        </w:rPr>
        <w:t>[2]</w:t>
      </w:r>
      <w:r w:rsidRPr="00F51A4C">
        <w:fldChar w:fldCharType="end"/>
      </w:r>
      <w:r w:rsidRPr="00F51A4C">
        <w:t xml:space="preserve">. </w:t>
      </w:r>
      <w:r>
        <w:t>C</w:t>
      </w:r>
      <w:r w:rsidRPr="00F51A4C">
        <w:t>ommon batteries are widely researched, discussed</w:t>
      </w:r>
      <w:r>
        <w:t>,</w:t>
      </w:r>
      <w:r w:rsidRPr="00F51A4C">
        <w:t xml:space="preserve"> and employed, especially in electric or hybrid vehicles </w:t>
      </w:r>
      <w:r w:rsidRPr="00F51A4C">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F51A4C">
        <w:instrText xml:space="preserve"> ADDIN EN.CITE </w:instrText>
      </w:r>
      <w:r w:rsidRPr="00F51A4C">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Pr="00F51A4C">
        <w:instrText xml:space="preserve"> ADDIN EN.CITE.DATA </w:instrText>
      </w:r>
      <w:r w:rsidRPr="00F51A4C">
        <w:fldChar w:fldCharType="end"/>
      </w:r>
      <w:r w:rsidRPr="00F51A4C">
        <w:fldChar w:fldCharType="separate"/>
      </w:r>
      <w:r w:rsidRPr="00F51A4C">
        <w:rPr>
          <w:noProof/>
        </w:rPr>
        <w:t>[2, 4, 5]</w:t>
      </w:r>
      <w:r w:rsidRPr="00F51A4C">
        <w:fldChar w:fldCharType="end"/>
      </w:r>
      <w:r>
        <w:t xml:space="preserve">. On the other hand, </w:t>
      </w:r>
      <w:r w:rsidRPr="00F51A4C">
        <w:t xml:space="preserve">they have some lifetime and power issues, like low power density, requiring </w:t>
      </w:r>
      <w:r>
        <w:t xml:space="preserve">a </w:t>
      </w:r>
      <w:r w:rsidRPr="00F51A4C">
        <w:t xml:space="preserve">longer charge and/or discharge time, capacitors can operate at short charge-discharge times (&lt;0.1 s) resulting in low production and maintenance costs. As demonstrated by </w:t>
      </w:r>
      <w:proofErr w:type="spellStart"/>
      <w:r w:rsidRPr="00F51A4C">
        <w:t>Libich</w:t>
      </w:r>
      <w:proofErr w:type="spellEnd"/>
      <w:r w:rsidRPr="00F51A4C">
        <w:t xml:space="preserve"> et al. </w:t>
      </w:r>
      <w:r w:rsidRPr="00F51A4C">
        <w:fldChar w:fldCharType="begin"/>
      </w:r>
      <w:r w:rsidRPr="00F51A4C">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Pr="00F51A4C">
        <w:fldChar w:fldCharType="separate"/>
      </w:r>
      <w:r w:rsidRPr="00F51A4C">
        <w:rPr>
          <w:noProof/>
        </w:rPr>
        <w:t>[1]</w:t>
      </w:r>
      <w:r w:rsidRPr="00F51A4C">
        <w:fldChar w:fldCharType="end"/>
      </w:r>
      <w:r w:rsidRPr="00F51A4C">
        <w:t xml:space="preserve">, electrochemical capacitors, also known as </w:t>
      </w:r>
      <w:r w:rsidRPr="00F51A4C">
        <w:rPr>
          <w:color w:val="000000" w:themeColor="text1"/>
        </w:rPr>
        <w:t xml:space="preserve">supercapacitors, present high energy densities, close to that of batteries, while also bringing the higher power densities of pure metal capacitors. Besides, they have been gaining </w:t>
      </w:r>
      <w:r w:rsidRPr="00F51A4C">
        <w:t>prominence</w:t>
      </w:r>
      <w:r w:rsidRPr="00F51A4C" w:rsidDel="004C61A4">
        <w:t xml:space="preserve"> </w:t>
      </w:r>
      <w:r w:rsidRPr="00F51A4C">
        <w:t>due to relative</w:t>
      </w:r>
      <w:r>
        <w:t>ly</w:t>
      </w:r>
      <w:r w:rsidRPr="00F51A4C">
        <w:t xml:space="preserve"> low</w:t>
      </w:r>
      <w:r>
        <w:t>-</w:t>
      </w:r>
      <w:r w:rsidRPr="00F51A4C">
        <w:t xml:space="preserve">cost, renewable materials usage, and high-efficiency energy storage capability </w:t>
      </w:r>
      <w:r w:rsidRPr="00F51A4C">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F51A4C">
        <w:instrText xml:space="preserve"> ADDIN EN.CITE </w:instrText>
      </w:r>
      <w:r w:rsidRPr="00F51A4C">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Pr="00F51A4C">
        <w:instrText xml:space="preserve"> ADDIN EN.CITE.DATA </w:instrText>
      </w:r>
      <w:r w:rsidRPr="00F51A4C">
        <w:fldChar w:fldCharType="end"/>
      </w:r>
      <w:r w:rsidRPr="00F51A4C">
        <w:fldChar w:fldCharType="separate"/>
      </w:r>
      <w:r w:rsidRPr="00F51A4C">
        <w:rPr>
          <w:noProof/>
        </w:rPr>
        <w:t>[6-8]</w:t>
      </w:r>
      <w:r w:rsidRPr="00F51A4C">
        <w:fldChar w:fldCharType="end"/>
      </w:r>
      <w:r w:rsidRPr="00F51A4C">
        <w:t xml:space="preserve">. </w:t>
      </w:r>
      <w:r w:rsidRPr="00F51A4C">
        <w:rPr>
          <w:color w:val="000000" w:themeColor="text1"/>
        </w:rPr>
        <w:t xml:space="preserve">It is also known that even at high discharge rates, their efficiency and reversibility exceed 90% </w:t>
      </w:r>
      <w:r w:rsidRPr="00F51A4C">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F51A4C">
        <w:instrText xml:space="preserve"> ADDIN EN.CITE </w:instrText>
      </w:r>
      <w:r w:rsidRPr="00F51A4C">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Pr="00F51A4C">
        <w:instrText xml:space="preserve"> ADDIN EN.CITE.DATA </w:instrText>
      </w:r>
      <w:r w:rsidRPr="00F51A4C">
        <w:fldChar w:fldCharType="end"/>
      </w:r>
      <w:r w:rsidRPr="00F51A4C">
        <w:fldChar w:fldCharType="separate"/>
      </w:r>
      <w:r w:rsidRPr="00F51A4C">
        <w:rPr>
          <w:noProof/>
        </w:rPr>
        <w:t>[9, 10]</w:t>
      </w:r>
      <w:r w:rsidRPr="00F51A4C">
        <w:fldChar w:fldCharType="end"/>
      </w:r>
      <w:r w:rsidRPr="00F51A4C">
        <w:rPr>
          <w:color w:val="000000" w:themeColor="text1"/>
        </w:rPr>
        <w:t>, further suggesting that supercapacitors could be ideal for renewable energy storage.</w:t>
      </w:r>
    </w:p>
    <w:p w14:paraId="13D0FBFD" w14:textId="4ADD3432" w:rsidR="002956A2" w:rsidRPr="003912CE" w:rsidRDefault="002956A2" w:rsidP="002956A2">
      <w:pPr>
        <w:pStyle w:val="MDPI31text"/>
      </w:pPr>
      <w:r w:rsidRPr="00F51A4C">
        <w:lastRenderedPageBreak/>
        <w:t xml:space="preserve">Hence, technological development </w:t>
      </w:r>
      <w:r>
        <w:t>has opened</w:t>
      </w:r>
      <w:r w:rsidRPr="00F51A4C">
        <w:t xml:space="preserve"> new applications and, in this scenario, flexible supercapacitors have attracted great interest in the industry. This class of materials meets the technological requirements for advances in the field of wearable, compact, and portable electronics, such as flexible displays on phones, health tracking devices, computers, televisions, electronic textiles, artificial electronic skin, and distributed sensors </w:t>
      </w:r>
      <w:r w:rsidRPr="00F51A4C">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instrText xml:space="preserve"> ADDIN EN.CITE </w:instrText>
      </w:r>
      <w:r w:rsidR="00CE50FD">
        <w:fldChar w:fldCharType="begin">
          <w:fldData xml:space="preserve">PEVuZE5vdGU+PENpdGU+PEF1dGhvcj5QYWxjaG91ZGh1cnk8L0F1dGhvcj48WWVhcj4yMDE5PC9Z
ZWFyPjxSZWNOdW0+NjYzPC9SZWNOdW0+PERpc3BsYXlUZXh0PlsxMS0xNV08L0Rpc3BsYXlUZXh0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cz48L3JlY29yZD48L0NpdGU+PENpdGU+PEF1dGhvcj5DaGVuZzwvQXV0aG9yPjxZZWFyPjIwMTU8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</w:fldData>
        </w:fldChar>
      </w:r>
      <w:r w:rsidR="00CE50FD">
        <w:instrText xml:space="preserve"> ADDIN EN.CITE.DATA </w:instrText>
      </w:r>
      <w:r w:rsidR="00CE50FD">
        <w:fldChar w:fldCharType="end"/>
      </w:r>
      <w:r w:rsidRPr="00F51A4C">
        <w:fldChar w:fldCharType="separate"/>
      </w:r>
      <w:r w:rsidR="00CE50FD">
        <w:rPr>
          <w:noProof/>
        </w:rPr>
        <w:t>[11-15]</w:t>
      </w:r>
      <w:r w:rsidRPr="00F51A4C">
        <w:fldChar w:fldCharType="end"/>
      </w:r>
      <w:r w:rsidRPr="00F51A4C">
        <w:t xml:space="preserve">. </w:t>
      </w:r>
      <w:r>
        <w:t>Furthermore</w:t>
      </w:r>
      <w:r w:rsidRPr="00F51A4C">
        <w:t xml:space="preserve">, the key challenge for the conception of the commercial supercapacitors is the development of devices with excellent mechanical flexibility and adjustable dimensions along </w:t>
      </w:r>
      <w:r w:rsidRPr="003912CE">
        <w:t xml:space="preserve">with decreasing production costs </w:t>
      </w:r>
      <w:r w:rsidRPr="003912CE">
        <w:fldChar w:fldCharType="begin"/>
      </w:r>
      <w:r w:rsidR="00CE50FD">
        <w:instrText xml:space="preserve"> ADDIN EN.CITE &lt;EndNote&gt;&lt;Cite&gt;&lt;Author&gt;Yu&lt;/Author&gt;&lt;Year&gt;2018&lt;/Year&gt;&lt;RecNum&gt;666&lt;/RecNum&gt;&lt;DisplayText&gt;[16, 17]&lt;/DisplayText&gt;&lt;record&gt;&lt;rec-number&gt;666&lt;/rec-number&gt;&lt;foreign-keys&gt;&lt;key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3912CE">
        <w:fldChar w:fldCharType="separate"/>
      </w:r>
      <w:r w:rsidR="00CE50FD">
        <w:rPr>
          <w:noProof/>
        </w:rPr>
        <w:t>[16, 17]</w:t>
      </w:r>
      <w:r w:rsidRPr="003912CE">
        <w:fldChar w:fldCharType="end"/>
      </w:r>
      <w:r w:rsidRPr="003912CE">
        <w:t>.</w:t>
      </w:r>
    </w:p>
    <w:p w14:paraId="535FD3BA" w14:textId="06DCB6E1" w:rsidR="002956A2" w:rsidRPr="00F51A4C" w:rsidRDefault="002956A2" w:rsidP="002956A2">
      <w:pPr>
        <w:pStyle w:val="MDPI31text"/>
      </w:pPr>
      <w:r w:rsidRPr="003912CE">
        <w:t>In this context, various carbon materials have been applied as electrode materials for electric double-layer capacitors, and among them, Carbon Black (CB) stands out due to the structure of the graphitic domains in the concentric particles, ensuring adequate electrical conduction, combined with the porosity of the carbonaceous material</w:t>
      </w:r>
      <w:r w:rsidRPr="00F51A4C">
        <w:t xml:space="preserve">, having the capacity to store energy in the form of electrical charges </w:t>
      </w:r>
      <w:r w:rsidRPr="00F51A4C">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instrText xml:space="preserve"> ADDIN EN.CITE </w:instrText>
      </w:r>
      <w:r w:rsidR="00CE50FD">
        <w:fldChar w:fldCharType="begin">
          <w:fldData xml:space="preserve">PEVuZE5vdGU+PENpdGU+PEF1dGhvcj5CYW48L0F1dGhvcj48WWVhcj4yMDExPC9ZZWFyPjxSZWNO
dW0+NjY4PC9SZWNOdW0+PERpc3BsYXlUZXh0PlsxOC0yMF08L0Rpc3BsYXlUZXh0PjxyZWNvcmQ+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CE50FD">
        <w:instrText xml:space="preserve"> ADDIN EN.CITE.DATA </w:instrText>
      </w:r>
      <w:r w:rsidR="00CE50FD">
        <w:fldChar w:fldCharType="end"/>
      </w:r>
      <w:r w:rsidRPr="00F51A4C">
        <w:fldChar w:fldCharType="separate"/>
      </w:r>
      <w:r w:rsidR="00CE50FD">
        <w:rPr>
          <w:noProof/>
        </w:rPr>
        <w:t>[18-20]</w:t>
      </w:r>
      <w:r w:rsidRPr="00F51A4C">
        <w:fldChar w:fldCharType="end"/>
      </w:r>
      <w:r w:rsidRPr="00F51A4C">
        <w:t>.</w:t>
      </w:r>
    </w:p>
    <w:p w14:paraId="1E4A76F7" w14:textId="0D17CE03" w:rsidR="002956A2" w:rsidRPr="00F51A4C" w:rsidRDefault="002956A2" w:rsidP="002956A2">
      <w:pPr>
        <w:pStyle w:val="MDPI31text"/>
      </w:pPr>
      <w:r w:rsidRPr="00F51A4C">
        <w:t xml:space="preserve">In addition, CB </w:t>
      </w:r>
      <w:r>
        <w:t>can</w:t>
      </w:r>
      <w:r w:rsidRPr="00F51A4C">
        <w:t xml:space="preserve"> form stable dispersions </w:t>
      </w:r>
      <w:r>
        <w:t xml:space="preserve">of </w:t>
      </w:r>
      <w:r w:rsidRPr="00F51A4C">
        <w:t xml:space="preserve">polymeric matrices </w:t>
      </w:r>
      <w:r w:rsidRPr="00F51A4C">
        <w:fldChar w:fldCharType="begin"/>
      </w:r>
      <w:r w:rsidR="00CE50FD">
        <w:instrText xml:space="preserve"> ADDIN EN.CITE &lt;EndNote&gt;&lt;Cite&gt;&lt;Author&gt;Phillips&lt;/Author&gt;&lt;Year&gt;2017&lt;/Year&gt;&lt;RecNum&gt;613&lt;/RecNum&gt;&lt;DisplayText&gt;[21]&lt;/DisplayText&gt;&lt;record&gt;&lt;rec-number&gt;613&lt;/rec-number&gt;&lt;foreign-keys&gt;&lt;key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Pr="00F51A4C">
        <w:fldChar w:fldCharType="separate"/>
      </w:r>
      <w:r w:rsidR="00CE50FD">
        <w:rPr>
          <w:noProof/>
        </w:rPr>
        <w:t>[21]</w:t>
      </w:r>
      <w:r w:rsidRPr="00F51A4C">
        <w:fldChar w:fldCharType="end"/>
      </w:r>
      <w:r w:rsidRPr="00F51A4C">
        <w:t xml:space="preserve">, </w:t>
      </w:r>
      <w:r>
        <w:t>which is</w:t>
      </w:r>
      <w:r w:rsidRPr="00F51A4C">
        <w:t xml:space="preserve"> applied for the fabrication of 2D printed electrodes, using a technology known as screen-printing </w:t>
      </w:r>
      <w:r w:rsidRPr="00F51A4C">
        <w:fldChar w:fldCharType="begin"/>
      </w:r>
      <w:r w:rsidR="00CE50FD">
        <w:instrText xml:space="preserve"> ADDIN EN.CITE &lt;EndNote&gt;&lt;Cite&gt;&lt;Author&gt;Garcia&lt;/Author&gt;&lt;Year&gt;2019&lt;/Year&gt;&lt;RecNum&gt;670&lt;/RecNum&gt;&lt;DisplayText&gt;[22, 23]&lt;/DisplayText&gt;&lt;record&gt;&lt;rec-number&gt;670&lt;/rec-number&gt;&lt;foreign-keys&gt;&lt;key app="EN" db-id="x2trtpa9deva2oetdsopztd6sp0sd92rpee2" timestamp="1649695765"&gt;670&lt;/key&gt;&lt;/foreign-keys&gt;&lt;ref-type name="Journal Article"&gt;17&lt;/ref-type&gt;&lt;contributors&gt;&lt;authors&gt;&lt;author&gt;Garcia, Diogo Miguel Esperanc</w:instrText>
      </w:r>
      <w:r w:rsidR="00CE50FD">
        <w:rPr>
          <w:rFonts w:ascii="Times New Roman" w:hAnsi="Times New Roman"/>
        </w:rPr>
        <w:instrText>̧</w:instrText>
      </w:r>
      <w:r w:rsidR="00CE50FD">
        <w:instrText>a&lt;/author&gt;&lt;author&gt;Pereira, Ana Sofia Taborda Martins&lt;/author&gt;&lt;author&gt;Almeida, António Carranca&lt;/author&gt;&lt;author&gt;Roma, Urbez Santana&lt;/author&gt;&lt;author&gt;Soler, Alejandra Ben Aissa&lt;/author&gt;&lt;author&gt;Lacharmoise, Paul D&lt;/author&gt;&lt;author&gt;das Merce</w:instrText>
      </w:r>
      <w:r w:rsidR="00CE50FD">
        <w:rPr>
          <w:rFonts w:ascii="Times New Roman" w:hAnsi="Times New Roman"/>
        </w:rPr>
        <w:instrText>̂</w:instrText>
      </w:r>
      <w:r w:rsidR="00CE50FD">
        <w:instrText>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F51A4C">
        <w:fldChar w:fldCharType="separate"/>
      </w:r>
      <w:r w:rsidR="00CE50FD">
        <w:rPr>
          <w:noProof/>
        </w:rPr>
        <w:t>[22, 23]</w:t>
      </w:r>
      <w:r w:rsidRPr="00F51A4C">
        <w:fldChar w:fldCharType="end"/>
      </w:r>
      <w:r w:rsidRPr="00F51A4C">
        <w:t xml:space="preserve">. This technology consists </w:t>
      </w:r>
      <w:r>
        <w:t>of</w:t>
      </w:r>
      <w:r w:rsidRPr="00F51A4C">
        <w:t xml:space="preserve"> the application of a conductive ink over a screen, delimiting the form of the desired electrodes on </w:t>
      </w:r>
      <w:r w:rsidRPr="003912CE">
        <w:t>the surface of an inert substrate. This conductive ink is conventionally made by the dispersion of electrically conductive particles on a polymeric matrix, and, among renewable options, Cellulose Acetate (CA) could be an interesting choice as it is a biodegradable polymer of biological sources</w:t>
      </w:r>
      <w:r w:rsidRPr="00F51A4C">
        <w:t>, synthesized from cellulose with relative</w:t>
      </w:r>
      <w:r>
        <w:t>ly</w:t>
      </w:r>
      <w:r w:rsidRPr="00F51A4C">
        <w:t xml:space="preserve"> low production cost </w:t>
      </w:r>
      <w:r w:rsidRPr="00F51A4C">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instrText xml:space="preserve"> ADDIN EN.CITE </w:instrText>
      </w:r>
      <w:r w:rsidR="00CE50FD">
        <w:fldChar w:fldCharType="begin">
          <w:fldData xml:space="preserve">PEVuZE5vdGU+PENpdGU+PEF1dGhvcj5Sb2Ryw61ndWV6PC9BdXRob3I+PFllYXI+MjAxMjwvWWVh
cj48UmVjTnVtPjY3MjwvUmVjTnVtPjxEaXNwbGF5VGV4dD5bMjQtMjZdPC9EaXNwbGF5VGV4dD48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CE50FD">
        <w:instrText xml:space="preserve"> ADDIN EN.CITE.DATA </w:instrText>
      </w:r>
      <w:r w:rsidR="00CE50FD">
        <w:fldChar w:fldCharType="end"/>
      </w:r>
      <w:r w:rsidRPr="00F51A4C">
        <w:fldChar w:fldCharType="separate"/>
      </w:r>
      <w:r w:rsidR="00CE50FD">
        <w:rPr>
          <w:noProof/>
        </w:rPr>
        <w:t>[24-26]</w:t>
      </w:r>
      <w:r w:rsidRPr="00F51A4C">
        <w:fldChar w:fldCharType="end"/>
      </w:r>
      <w:r w:rsidRPr="00F51A4C">
        <w:t xml:space="preserve">. The literature also presents screen-printed systems as possible disposable materials </w:t>
      </w:r>
      <w:r w:rsidRPr="00F51A4C">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instrText xml:space="preserve"> ADDIN EN.CITE </w:instrText>
      </w:r>
      <w:r w:rsidR="00CE50FD">
        <w:fldChar w:fldCharType="begin">
          <w:fldData xml:space="preserve">PEVuZE5vdGU+PENpdGU+PEF1dGhvcj5kZSBBcmF1am8gQW5kcmVvdHRpPC9BdXRob3I+PFllYXI+
MjAxOTwvWWVhcj48UmVjTnVtPjYxNDwvUmVjTnVtPjxEaXNwbGF5VGV4dD5bMjctMjldPC9EaXNw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CE50FD">
        <w:instrText xml:space="preserve"> ADDIN EN.CITE.DATA </w:instrText>
      </w:r>
      <w:r w:rsidR="00CE50FD">
        <w:fldChar w:fldCharType="end"/>
      </w:r>
      <w:r w:rsidRPr="00F51A4C">
        <w:fldChar w:fldCharType="separate"/>
      </w:r>
      <w:r w:rsidR="00CE50FD">
        <w:rPr>
          <w:noProof/>
        </w:rPr>
        <w:t>[27-29]</w:t>
      </w:r>
      <w:r w:rsidRPr="00F51A4C">
        <w:fldChar w:fldCharType="end"/>
      </w:r>
      <w:r w:rsidRPr="00F51A4C">
        <w:t xml:space="preserve">, due to their reduced production cost, when compared to conventional electrodes. This, however, also demands an ecofriendly inert substrate, such as reusable beverage bottles (polyethylene terephthalate, PET) </w:t>
      </w:r>
      <w:r w:rsidRPr="00F51A4C">
        <w:fldChar w:fldCharType="begin"/>
      </w:r>
      <w:r w:rsidR="00CE50FD">
        <w:instrText xml:space="preserve"> ADDIN EN.CITE &lt;EndNote&gt;&lt;Cite&gt;&lt;Author&gt;de Araujo Andreotti&lt;/Author&gt;&lt;Year&gt;2019&lt;/Year&gt;&lt;RecNum&gt;614&lt;/RecNum&gt;&lt;DisplayText&gt;[27]&lt;/DisplayText&gt;&lt;record&gt;&lt;rec-number&gt;614&lt;/rec-number&gt;&lt;foreign-keys&gt;&lt;key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Pr="00F51A4C">
        <w:fldChar w:fldCharType="separate"/>
      </w:r>
      <w:r w:rsidR="00CE50FD">
        <w:rPr>
          <w:noProof/>
        </w:rPr>
        <w:t>[27]</w:t>
      </w:r>
      <w:r w:rsidRPr="00F51A4C">
        <w:fldChar w:fldCharType="end"/>
      </w:r>
      <w:r w:rsidRPr="00F51A4C">
        <w:t xml:space="preserve">, sandpapers </w:t>
      </w:r>
      <w:r w:rsidRPr="00F51A4C">
        <w:fldChar w:fldCharType="begin"/>
      </w:r>
      <w:r w:rsidR="00CE50FD">
        <w:instrText xml:space="preserve"> ADDIN EN.CITE &lt;EndNote&gt;&lt;Cite&gt;&lt;Author&gt;Rocha&lt;/Author&gt;&lt;Year&gt;2021&lt;/Year&gt;&lt;RecNum&gt;618&lt;/RecNum&gt;&lt;DisplayText&gt;[30]&lt;/DisplayText&gt;&lt;record&gt;&lt;rec-number&gt;618&lt;/rec-number&gt;&lt;foreign-keys&gt;&lt;key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Pr="00F51A4C">
        <w:fldChar w:fldCharType="separate"/>
      </w:r>
      <w:r w:rsidR="00CE50FD">
        <w:rPr>
          <w:noProof/>
        </w:rPr>
        <w:t>[30]</w:t>
      </w:r>
      <w:r w:rsidRPr="00F51A4C">
        <w:fldChar w:fldCharType="end"/>
      </w:r>
      <w:r w:rsidRPr="00F51A4C">
        <w:t xml:space="preserve">; or recyclable materials, </w:t>
      </w:r>
      <w:r>
        <w:t xml:space="preserve">such </w:t>
      </w:r>
      <w:r w:rsidRPr="00F51A4C">
        <w:t xml:space="preserve">as paper </w:t>
      </w:r>
      <w:r w:rsidRPr="00F51A4C">
        <w:fldChar w:fldCharType="begin"/>
      </w:r>
      <w:r w:rsidR="00CE50FD">
        <w:instrText xml:space="preserve"> ADDIN EN.CITE &lt;EndNote&gt;&lt;Cite&gt;&lt;Author&gt;Li&lt;/Author&gt;&lt;Year&gt;2016&lt;/Year&gt;&lt;RecNum&gt;616&lt;/RecNum&gt;&lt;DisplayText&gt;[31]&lt;/DisplayText&gt;&lt;record&gt;&lt;rec-number&gt;616&lt;/rec-number&gt;&lt;foreign-keys&gt;&lt;key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Pr="00F51A4C">
        <w:fldChar w:fldCharType="separate"/>
      </w:r>
      <w:r w:rsidR="00CE50FD">
        <w:rPr>
          <w:noProof/>
        </w:rPr>
        <w:t>[31]</w:t>
      </w:r>
      <w:r w:rsidRPr="00F51A4C">
        <w:fldChar w:fldCharType="end"/>
      </w:r>
      <w:r w:rsidRPr="00F51A4C">
        <w:t xml:space="preserve">, waterproof paper </w:t>
      </w:r>
      <w:r w:rsidRPr="00F51A4C">
        <w:fldChar w:fldCharType="begin"/>
      </w:r>
      <w:r w:rsidR="00CE50FD">
        <w:instrText xml:space="preserve"> ADDIN EN.CITE &lt;EndNote&gt;&lt;Cite&gt;&lt;Author&gt;Camargo&lt;/Author&gt;&lt;Year&gt;2020&lt;/Year&gt;&lt;RecNum&gt;615&lt;/RecNum&gt;&lt;DisplayText&gt;[32]&lt;/DisplayText&gt;&lt;record&gt;&lt;rec-number&gt;615&lt;/rec-number&gt;&lt;foreign-keys&gt;&lt;key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Pr="00F51A4C">
        <w:fldChar w:fldCharType="separate"/>
      </w:r>
      <w:r w:rsidR="00CE50FD">
        <w:rPr>
          <w:noProof/>
        </w:rPr>
        <w:t>[32]</w:t>
      </w:r>
      <w:r w:rsidRPr="00F51A4C">
        <w:fldChar w:fldCharType="end"/>
      </w:r>
      <w:r w:rsidRPr="00F51A4C">
        <w:t xml:space="preserve">, fiberboard </w:t>
      </w:r>
      <w:r w:rsidRPr="00F51A4C">
        <w:fldChar w:fldCharType="begin"/>
      </w:r>
      <w:r w:rsidR="00CE50FD">
        <w:instrText xml:space="preserve"> ADDIN EN.CITE &lt;EndNote&gt;&lt;Cite&gt;&lt;Author&gt;Orzari&lt;/Author&gt;&lt;Year&gt;2018&lt;/Year&gt;&lt;RecNum&gt;617&lt;/RecNum&gt;&lt;DisplayText&gt;[33]&lt;/DisplayText&gt;&lt;record&gt;&lt;rec-number&gt;617&lt;/rec-number&gt;&lt;foreign-keys&gt;&lt;key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Pr="00F51A4C">
        <w:fldChar w:fldCharType="separate"/>
      </w:r>
      <w:r w:rsidR="00CE50FD">
        <w:rPr>
          <w:noProof/>
        </w:rPr>
        <w:t>[33]</w:t>
      </w:r>
      <w:r w:rsidRPr="00F51A4C">
        <w:fldChar w:fldCharType="end"/>
      </w:r>
      <w:r w:rsidRPr="00F51A4C">
        <w:t xml:space="preserve"> and polyvinyl chloride </w:t>
      </w:r>
      <w:r w:rsidRPr="00F51A4C">
        <w:fldChar w:fldCharType="begin"/>
      </w:r>
      <w:r w:rsidR="00CE50FD">
        <w:instrText xml:space="preserve"> ADDIN EN.CITE &lt;EndNote&gt;&lt;Cite&gt;&lt;Author&gt;Carvalho&lt;/Author&gt;&lt;Year&gt;2021&lt;/Year&gt;&lt;RecNum&gt;621&lt;/RecNum&gt;&lt;DisplayText&gt;[34]&lt;/DisplayText&gt;&lt;record&gt;&lt;rec-number&gt;621&lt;/rec-number&gt;&lt;foreign-keys&gt;&lt;key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Pr="00F51A4C">
        <w:fldChar w:fldCharType="separate"/>
      </w:r>
      <w:r w:rsidR="00CE50FD">
        <w:rPr>
          <w:noProof/>
        </w:rPr>
        <w:t>[34]</w:t>
      </w:r>
      <w:r w:rsidRPr="00F51A4C">
        <w:fldChar w:fldCharType="end"/>
      </w:r>
      <w:r w:rsidRPr="00F51A4C">
        <w:t>. The selection of electrode materials directly affects the electrochemical performance, physical properties</w:t>
      </w:r>
      <w:r>
        <w:t>,</w:t>
      </w:r>
      <w:r w:rsidRPr="00F51A4C">
        <w:t xml:space="preserve"> and further applications of the device. Therefore, the development of flexible supercapacitors is very important for different technologies, making essential the search for cheaper and renewable materials, with optimal operational parameters. In this work</w:t>
      </w:r>
      <w:r>
        <w:t>,</w:t>
      </w:r>
      <w:r w:rsidRPr="00F51A4C">
        <w:t xml:space="preserve"> we propose the development of a disposable and flexible supercapacitor, using the screen-printing technique, with a conductive and lab-made ink of CB and CA, deposited over a PET substrate, presenting and discussing its behaviors, characteristics</w:t>
      </w:r>
      <w:r>
        <w:t>,</w:t>
      </w:r>
      <w:r w:rsidRPr="00F51A4C">
        <w:t xml:space="preserve"> and efficiencies in different pH media.</w:t>
      </w:r>
    </w:p>
    <w:p w14:paraId="1C0745A8" w14:textId="77777777" w:rsidR="004E1718" w:rsidRPr="00FA04F1" w:rsidRDefault="004E1718" w:rsidP="004E1718">
      <w:pPr>
        <w:pStyle w:val="MDPI21heading1"/>
      </w:pPr>
      <w:r w:rsidRPr="00FA04F1">
        <w:rPr>
          <w:lang w:eastAsia="zh-CN"/>
        </w:rPr>
        <w:t xml:space="preserve">2. </w:t>
      </w:r>
      <w:r w:rsidRPr="00FA04F1">
        <w:t>Materials and Methods</w:t>
      </w:r>
    </w:p>
    <w:p w14:paraId="7670E454" w14:textId="77777777" w:rsidR="0029111A" w:rsidRPr="00F51A4C" w:rsidRDefault="0029111A" w:rsidP="0029111A">
      <w:pPr>
        <w:pStyle w:val="MDPI22heading2"/>
      </w:pPr>
      <w:r w:rsidRPr="00F51A4C">
        <w:t>2.1. Reagents and solutions</w:t>
      </w:r>
    </w:p>
    <w:p w14:paraId="63F4586F" w14:textId="77777777" w:rsidR="0029111A" w:rsidRPr="00F51A4C" w:rsidRDefault="0029111A" w:rsidP="0029111A">
      <w:pPr>
        <w:pStyle w:val="MDPI31text"/>
      </w:pPr>
      <w:r w:rsidRPr="00F51A4C">
        <w:tab/>
        <w:t xml:space="preserve">All chemicals used in this work were purchased from Sigma-Aldrich (Germany) and/or </w:t>
      </w:r>
      <w:proofErr w:type="spellStart"/>
      <w:r w:rsidRPr="00F51A4C">
        <w:t>Fluka</w:t>
      </w:r>
      <w:proofErr w:type="spellEnd"/>
      <w:r w:rsidRPr="00F51A4C">
        <w:t xml:space="preserve"> (Brazil), with analytical grade. In addition, all aqueous solutions used for electrochemical characterizations, including the supporting electrolytes: sulfuric acid (H</w:t>
      </w:r>
      <w:r w:rsidRPr="00F51A4C">
        <w:rPr>
          <w:vertAlign w:val="subscript"/>
        </w:rPr>
        <w:t>2</w:t>
      </w:r>
      <w:r w:rsidRPr="00F51A4C">
        <w:t>SO</w:t>
      </w:r>
      <w:r w:rsidRPr="00F51A4C">
        <w:rPr>
          <w:vertAlign w:val="subscript"/>
        </w:rPr>
        <w:t>4</w:t>
      </w:r>
      <w:r w:rsidRPr="00F51A4C">
        <w:t>), potassium hydroxide (KOH)</w:t>
      </w:r>
      <w:r>
        <w:t>,</w:t>
      </w:r>
      <w:r w:rsidRPr="00F51A4C">
        <w:t xml:space="preserve"> and sodium sulfate (Na</w:t>
      </w:r>
      <w:r w:rsidRPr="00F51A4C">
        <w:rPr>
          <w:vertAlign w:val="subscript"/>
        </w:rPr>
        <w:t>2</w:t>
      </w:r>
      <w:r w:rsidRPr="00F51A4C">
        <w:t>SO</w:t>
      </w:r>
      <w:r w:rsidRPr="00F51A4C">
        <w:rPr>
          <w:vertAlign w:val="subscript"/>
        </w:rPr>
        <w:t>4</w:t>
      </w:r>
      <w:r w:rsidRPr="00F51A4C">
        <w:t>); were prepared by an ultrapure water system Synergy® (type 1) from Merck Millipore (Merck Group, USA), with resistivity &gt; 18 MΩ cm. For ink preparation, VULCAN® XC-72 conducting carbon black (CB) powder was provided by CABOT, and the Polyethylene Terephthalate (PET) substrates were obtained by reusing different beverage bottles.</w:t>
      </w:r>
    </w:p>
    <w:p w14:paraId="2FF18626" w14:textId="77777777" w:rsidR="0029111A" w:rsidRPr="00F51A4C" w:rsidRDefault="0029111A" w:rsidP="0029111A">
      <w:pPr>
        <w:pStyle w:val="MDPI22heading2"/>
      </w:pPr>
      <w:r w:rsidRPr="00F51A4C">
        <w:t>2.2. Apparatus</w:t>
      </w:r>
    </w:p>
    <w:p w14:paraId="5FB421E4" w14:textId="77777777" w:rsidR="0029111A" w:rsidRPr="00F51A4C" w:rsidRDefault="0029111A" w:rsidP="0029111A">
      <w:pPr>
        <w:pStyle w:val="MDPI31text"/>
      </w:pPr>
      <w:r w:rsidRPr="00F51A4C">
        <w:tab/>
        <w:t xml:space="preserve">The CB-based electrodes were </w:t>
      </w:r>
      <w:r>
        <w:t>prepared</w:t>
      </w:r>
      <w:r w:rsidRPr="00F51A4C">
        <w:t xml:space="preserve"> and assembled with the aid of Silhouette Studio 4.4® (Silhouette, Brazil) software, used to elaborate the capacitor mask design, and command the Silhouette Cameo 3® cutting machine (Silhouette, Brazil). For the ink preparation, a magnetic stirrer and heater (</w:t>
      </w:r>
      <w:proofErr w:type="spellStart"/>
      <w:r w:rsidRPr="00F51A4C">
        <w:t>Biomixer</w:t>
      </w:r>
      <w:proofErr w:type="spellEnd"/>
      <w:r w:rsidRPr="00F51A4C">
        <w:t xml:space="preserve"> AM-10), and an ultrasonic bath purchased from (</w:t>
      </w:r>
      <w:proofErr w:type="spellStart"/>
      <w:r w:rsidRPr="00F51A4C">
        <w:t>Cristófoli</w:t>
      </w:r>
      <w:proofErr w:type="spellEnd"/>
      <w:r w:rsidRPr="00F51A4C">
        <w:t>, Brazil) were used.</w:t>
      </w:r>
    </w:p>
    <w:p w14:paraId="1C85099D" w14:textId="1FDC3489" w:rsidR="0029111A" w:rsidRPr="00F51A4C" w:rsidRDefault="0029111A" w:rsidP="0029111A">
      <w:pPr>
        <w:pStyle w:val="MDPI31text"/>
      </w:pPr>
      <w:r w:rsidRPr="00F51A4C">
        <w:t xml:space="preserve">The electrochemical characterizations were performed in a </w:t>
      </w:r>
      <w:proofErr w:type="spellStart"/>
      <w:r w:rsidRPr="00F51A4C">
        <w:t>Potentiostat</w:t>
      </w:r>
      <w:proofErr w:type="spellEnd"/>
      <w:r w:rsidRPr="00F51A4C">
        <w:t>/</w:t>
      </w:r>
      <w:proofErr w:type="spellStart"/>
      <w:r w:rsidRPr="00F51A4C">
        <w:t>Galvanostat</w:t>
      </w:r>
      <w:proofErr w:type="spellEnd"/>
      <w:r w:rsidRPr="00F51A4C">
        <w:t xml:space="preserve"> (</w:t>
      </w:r>
      <w:proofErr w:type="spellStart"/>
      <w:r w:rsidRPr="00F51A4C">
        <w:t>Metrohm</w:t>
      </w:r>
      <w:proofErr w:type="spellEnd"/>
      <w:r w:rsidRPr="00F51A4C">
        <w:t xml:space="preserve">, </w:t>
      </w:r>
      <w:proofErr w:type="spellStart"/>
      <w:r w:rsidRPr="00F51A4C">
        <w:t>Autolab</w:t>
      </w:r>
      <w:proofErr w:type="spellEnd"/>
      <w:r w:rsidRPr="00F51A4C">
        <w:t xml:space="preserve">/PGSTAT204) with an expansion module for Electrochemical </w:t>
      </w:r>
      <w:r w:rsidRPr="00F51A4C">
        <w:lastRenderedPageBreak/>
        <w:t xml:space="preserve">Impedance Spectroscopy (EIS) FRA32M performance. Managed by NOVA 2.1.4 software, at the open circuit potential (OCP) with sine wave type, 10 mV amplitude, in the frequency range of 0.1 MHz to 10 </w:t>
      </w:r>
      <w:proofErr w:type="spellStart"/>
      <w:r>
        <w:t>M</w:t>
      </w:r>
      <w:r w:rsidRPr="00F51A4C">
        <w:t>Hz.</w:t>
      </w:r>
      <w:proofErr w:type="spellEnd"/>
      <w:r w:rsidRPr="00F51A4C">
        <w:t xml:space="preserve"> Morphological characterizations were conducted by (Scanning Electronic Microscope) SEM images obtained in a Vega-3 LMU </w:t>
      </w:r>
      <w:proofErr w:type="spellStart"/>
      <w:r w:rsidRPr="00F51A4C">
        <w:t>Tescan</w:t>
      </w:r>
      <w:proofErr w:type="spellEnd"/>
      <w:r w:rsidRPr="00F51A4C">
        <w:t xml:space="preserve"> electronic microscope, in </w:t>
      </w:r>
      <w:r w:rsidR="006D076B">
        <w:t>5.0</w:t>
      </w:r>
      <w:r w:rsidRPr="00F51A4C">
        <w:t xml:space="preserve"> kV voltage acceleration and 50 P low vacuum mode. The electrochemical impedance spectroscopy (EIS) data w</w:t>
      </w:r>
      <w:r>
        <w:t>ere</w:t>
      </w:r>
      <w:r w:rsidRPr="00F51A4C">
        <w:t xml:space="preserve"> obtained in three different 1.0 mol L</w:t>
      </w:r>
      <w:r w:rsidRPr="00F51A4C">
        <w:rPr>
          <w:rFonts w:ascii="Symbol" w:hAnsi="Symbol"/>
          <w:vertAlign w:val="superscript"/>
        </w:rPr>
        <w:t>-</w:t>
      </w:r>
      <w:r w:rsidRPr="00F51A4C">
        <w:rPr>
          <w:vertAlign w:val="superscript"/>
        </w:rPr>
        <w:t>1</w:t>
      </w:r>
      <w:r w:rsidRPr="00F51A4C">
        <w:t xml:space="preserve"> electrolytes: H</w:t>
      </w:r>
      <w:r w:rsidRPr="00F51A4C">
        <w:rPr>
          <w:vertAlign w:val="subscript"/>
        </w:rPr>
        <w:t>2</w:t>
      </w:r>
      <w:r w:rsidRPr="00F51A4C">
        <w:t>SO</w:t>
      </w:r>
      <w:r w:rsidRPr="00F51A4C">
        <w:rPr>
          <w:vertAlign w:val="subscript"/>
        </w:rPr>
        <w:t>4</w:t>
      </w:r>
      <w:r w:rsidRPr="00F51A4C">
        <w:t>, KOH</w:t>
      </w:r>
      <w:r>
        <w:t>,</w:t>
      </w:r>
      <w:r w:rsidRPr="00F51A4C">
        <w:t xml:space="preserve"> and Na</w:t>
      </w:r>
      <w:r w:rsidRPr="00F51A4C">
        <w:rPr>
          <w:vertAlign w:val="subscript"/>
        </w:rPr>
        <w:t>2</w:t>
      </w:r>
      <w:r w:rsidRPr="00F51A4C">
        <w:t>SO</w:t>
      </w:r>
      <w:r w:rsidRPr="00F51A4C">
        <w:rPr>
          <w:vertAlign w:val="subscript"/>
        </w:rPr>
        <w:t>4</w:t>
      </w:r>
      <w:r w:rsidRPr="00F51A4C">
        <w:t xml:space="preserve">. </w:t>
      </w:r>
      <w:r>
        <w:t>The d</w:t>
      </w:r>
      <w:r w:rsidRPr="00F51A4C">
        <w:t xml:space="preserve">ata was obtained with the following parameters: applied potential corresponding to the OCP of each system, obtained after 300 s stabilization, being </w:t>
      </w:r>
      <w:r w:rsidRPr="00F51A4C">
        <w:rPr>
          <w:rFonts w:ascii="Symbol" w:hAnsi="Symbol"/>
        </w:rPr>
        <w:t>-</w:t>
      </w:r>
      <w:r w:rsidRPr="00F51A4C">
        <w:t>26 mV for H</w:t>
      </w:r>
      <w:r w:rsidRPr="00F51A4C">
        <w:rPr>
          <w:vertAlign w:val="subscript"/>
        </w:rPr>
        <w:t>2</w:t>
      </w:r>
      <w:r w:rsidRPr="00F51A4C">
        <w:t>SO</w:t>
      </w:r>
      <w:r w:rsidRPr="00F51A4C">
        <w:rPr>
          <w:vertAlign w:val="subscript"/>
        </w:rPr>
        <w:t>4</w:t>
      </w:r>
      <w:r w:rsidRPr="00F51A4C">
        <w:t xml:space="preserve"> and </w:t>
      </w:r>
      <w:r w:rsidRPr="00F51A4C">
        <w:rPr>
          <w:rFonts w:ascii="Symbol" w:hAnsi="Symbol"/>
        </w:rPr>
        <w:t>-</w:t>
      </w:r>
      <w:r w:rsidRPr="00F51A4C">
        <w:t>56 mV for KOH; potential amplitude of 10 mV, sine waves type throughout all analysis, and 10 frequency increments per decade, in the range of 1.0×10</w:t>
      </w:r>
      <w:r w:rsidRPr="00F51A4C">
        <w:rPr>
          <w:vertAlign w:val="superscript"/>
        </w:rPr>
        <w:t>5</w:t>
      </w:r>
      <w:r w:rsidRPr="00F51A4C">
        <w:t xml:space="preserve"> to 1.0×10</w:t>
      </w:r>
      <w:r w:rsidRPr="00F51A4C">
        <w:rPr>
          <w:rFonts w:ascii="Symbol" w:hAnsi="Symbol"/>
          <w:vertAlign w:val="superscript"/>
        </w:rPr>
        <w:t>-</w:t>
      </w:r>
      <w:r w:rsidRPr="00F51A4C">
        <w:rPr>
          <w:vertAlign w:val="superscript"/>
        </w:rPr>
        <w:t>2</w:t>
      </w:r>
      <w:r w:rsidRPr="00F51A4C">
        <w:t xml:space="preserve"> Hz.</w:t>
      </w:r>
    </w:p>
    <w:p w14:paraId="36CE8116" w14:textId="77777777" w:rsidR="0029111A" w:rsidRPr="00F51A4C" w:rsidRDefault="0029111A" w:rsidP="0029111A">
      <w:pPr>
        <w:pStyle w:val="MDPI22heading2"/>
      </w:pPr>
      <w:r w:rsidRPr="00F51A4C">
        <w:t>2.3 Production of the ink and manufacture of the disposable electrodes</w:t>
      </w:r>
    </w:p>
    <w:p w14:paraId="2B3AF38C" w14:textId="77777777" w:rsidR="0029111A" w:rsidRPr="00F51A4C" w:rsidRDefault="0029111A" w:rsidP="0029111A">
      <w:pPr>
        <w:pStyle w:val="MDPI31text"/>
      </w:pPr>
      <w:r w:rsidRPr="00F51A4C">
        <w:tab/>
        <w:t>To guarantee optimal ink formulation and materials dispersion, two solvent solutions were prepared, with a mixture of N, N-Dimethylformamide (DMF)</w:t>
      </w:r>
      <w:r>
        <w:t>,</w:t>
      </w:r>
      <w:r w:rsidRPr="00F51A4C">
        <w:t xml:space="preserve"> and acetone (ACE) of distinct volume %. The solvent to best dispersed CA had a 52.5/47.5% ratio, while the solvent that better dispersed CB, presented a ratio of 42.4/57.6%. The CA dispersion was prepared by adding 250 mg of the acetate in </w:t>
      </w:r>
      <w:r>
        <w:t xml:space="preserve">the </w:t>
      </w:r>
      <w:r w:rsidRPr="00F51A4C">
        <w:t xml:space="preserve">mentioned solvent, </w:t>
      </w:r>
      <w:r>
        <w:t xml:space="preserve">and </w:t>
      </w:r>
      <w:r w:rsidRPr="00F51A4C">
        <w:t>subsequently stirring it for 10 min at room temperature. Meanwhile, the CB dispersion was produced by adding a desired amount of CB to the corresponding DMF/ACE mixture and placing it in an ultrasonic bath, for 30 min, to enhance homogenization. Finally, these two dispersions were mixed in different proportions, following another ultrasonic bath for 30 min. After, the final dispersion was magnetically stirred for 10 min, finishing the conductive ink. The final CB:CA proportions are presented in Table 1:</w:t>
      </w:r>
    </w:p>
    <w:tbl>
      <w:tblPr>
        <w:tblStyle w:val="SimplesTabela2"/>
        <w:tblW w:w="0" w:type="auto"/>
        <w:tblInd w:w="3252" w:type="dxa"/>
        <w:tblLook w:val="04A0" w:firstRow="1" w:lastRow="0" w:firstColumn="1" w:lastColumn="0" w:noHBand="0" w:noVBand="1"/>
      </w:tblPr>
      <w:tblGrid>
        <w:gridCol w:w="1698"/>
        <w:gridCol w:w="1699"/>
        <w:gridCol w:w="1699"/>
        <w:gridCol w:w="1699"/>
      </w:tblGrid>
      <w:tr w:rsidR="0029111A" w:rsidRPr="007141CC" w14:paraId="3E0FA56B" w14:textId="77777777" w:rsidTr="00D007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0F9E1170" w14:textId="387A7D3E" w:rsidR="0029111A" w:rsidRPr="00F51A4C" w:rsidRDefault="0029111A" w:rsidP="00D0071E">
            <w:pPr>
              <w:pStyle w:val="MDPI41tablecaption"/>
              <w:ind w:left="0"/>
            </w:pPr>
            <w:proofErr w:type="spellStart"/>
            <w:r w:rsidRPr="00F51A4C">
              <w:t>Table</w:t>
            </w:r>
            <w:proofErr w:type="spellEnd"/>
            <w:r w:rsidRPr="00F51A4C">
              <w:t xml:space="preserve"> 1</w:t>
            </w:r>
            <w:r w:rsidR="00CF77B4">
              <w:t>.</w:t>
            </w:r>
            <w:r w:rsidRPr="00F51A4C">
              <w:t xml:space="preserve"> </w:t>
            </w:r>
            <w:r w:rsidRPr="00D0071E">
              <w:rPr>
                <w:b w:val="0"/>
                <w:bCs w:val="0"/>
              </w:rPr>
              <w:t xml:space="preserve">CB/CA </w:t>
            </w:r>
            <w:proofErr w:type="spellStart"/>
            <w:r w:rsidRPr="00D0071E">
              <w:rPr>
                <w:b w:val="0"/>
                <w:bCs w:val="0"/>
              </w:rPr>
              <w:t>proportions</w:t>
            </w:r>
            <w:proofErr w:type="spellEnd"/>
            <w:r w:rsidRPr="00D0071E">
              <w:rPr>
                <w:b w:val="0"/>
                <w:bCs w:val="0"/>
              </w:rPr>
              <w:t xml:space="preserve"> </w:t>
            </w:r>
            <w:proofErr w:type="spellStart"/>
            <w:r w:rsidRPr="00D0071E">
              <w:rPr>
                <w:b w:val="0"/>
                <w:bCs w:val="0"/>
              </w:rPr>
              <w:t>at</w:t>
            </w:r>
            <w:proofErr w:type="spellEnd"/>
            <w:r w:rsidRPr="00D0071E">
              <w:rPr>
                <w:b w:val="0"/>
                <w:bCs w:val="0"/>
              </w:rPr>
              <w:t xml:space="preserve"> </w:t>
            </w:r>
            <w:proofErr w:type="spellStart"/>
            <w:r w:rsidRPr="00D0071E">
              <w:rPr>
                <w:b w:val="0"/>
                <w:bCs w:val="0"/>
              </w:rPr>
              <w:t>the</w:t>
            </w:r>
            <w:proofErr w:type="spellEnd"/>
            <w:r w:rsidRPr="00D0071E">
              <w:rPr>
                <w:b w:val="0"/>
                <w:bCs w:val="0"/>
              </w:rPr>
              <w:t xml:space="preserve"> </w:t>
            </w:r>
            <w:proofErr w:type="spellStart"/>
            <w:r w:rsidRPr="00D0071E">
              <w:rPr>
                <w:b w:val="0"/>
                <w:bCs w:val="0"/>
              </w:rPr>
              <w:t>different</w:t>
            </w:r>
            <w:proofErr w:type="spellEnd"/>
            <w:r w:rsidRPr="00D0071E">
              <w:rPr>
                <w:b w:val="0"/>
                <w:bCs w:val="0"/>
              </w:rPr>
              <w:t xml:space="preserve"> </w:t>
            </w:r>
            <w:proofErr w:type="spellStart"/>
            <w:r w:rsidRPr="00D0071E">
              <w:rPr>
                <w:b w:val="0"/>
                <w:bCs w:val="0"/>
              </w:rPr>
              <w:t>prepared</w:t>
            </w:r>
            <w:proofErr w:type="spellEnd"/>
            <w:r w:rsidRPr="00D0071E">
              <w:rPr>
                <w:b w:val="0"/>
                <w:bCs w:val="0"/>
              </w:rPr>
              <w:t xml:space="preserve"> </w:t>
            </w:r>
            <w:proofErr w:type="spellStart"/>
            <w:r w:rsidRPr="00D0071E">
              <w:rPr>
                <w:b w:val="0"/>
                <w:bCs w:val="0"/>
              </w:rPr>
              <w:t>inks</w:t>
            </w:r>
            <w:proofErr w:type="spellEnd"/>
          </w:p>
        </w:tc>
      </w:tr>
      <w:tr w:rsidR="0029111A" w:rsidRPr="00F51A4C" w14:paraId="40EFC17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7949C865" w14:textId="77777777" w:rsidR="0029111A" w:rsidRPr="00F51A4C" w:rsidRDefault="0029111A" w:rsidP="00D0071E">
            <w:pPr>
              <w:pStyle w:val="MDPI42tablebody"/>
            </w:pPr>
            <w:proofErr w:type="spellStart"/>
            <w:r w:rsidRPr="00F51A4C">
              <w:t>Formulation</w:t>
            </w:r>
            <w:proofErr w:type="spellEnd"/>
            <w:r w:rsidRPr="00F51A4C">
              <w:t xml:space="preserve"> Nº</w:t>
            </w:r>
          </w:p>
        </w:tc>
        <w:tc>
          <w:tcPr>
            <w:tcW w:w="1699" w:type="dxa"/>
            <w:vAlign w:val="center"/>
          </w:tcPr>
          <w:p w14:paraId="1E99B252"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CB (mg)</w:t>
            </w:r>
          </w:p>
        </w:tc>
        <w:tc>
          <w:tcPr>
            <w:tcW w:w="1699" w:type="dxa"/>
            <w:vAlign w:val="center"/>
          </w:tcPr>
          <w:p w14:paraId="095AAF5C"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CA (mg)</w:t>
            </w:r>
          </w:p>
        </w:tc>
        <w:tc>
          <w:tcPr>
            <w:tcW w:w="1699" w:type="dxa"/>
            <w:vAlign w:val="center"/>
          </w:tcPr>
          <w:p w14:paraId="77061F68" w14:textId="3156B9CC"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CB/CA (</w:t>
            </w:r>
            <w:proofErr w:type="spellStart"/>
            <w:r w:rsidRPr="00F51A4C">
              <w:t>w</w:t>
            </w:r>
            <w:r w:rsidR="00D0071E">
              <w:t>t</w:t>
            </w:r>
            <w:proofErr w:type="spellEnd"/>
            <w:r w:rsidR="00D0071E">
              <w:t>%</w:t>
            </w:r>
            <w:r w:rsidRPr="00F51A4C">
              <w:t>/</w:t>
            </w:r>
            <w:proofErr w:type="spellStart"/>
            <w:r w:rsidRPr="00F51A4C">
              <w:t>w</w:t>
            </w:r>
            <w:r w:rsidR="00D0071E">
              <w:t>t</w:t>
            </w:r>
            <w:proofErr w:type="spellEnd"/>
            <w:r w:rsidR="00D0071E">
              <w:t>%</w:t>
            </w:r>
            <w:r w:rsidRPr="00F51A4C">
              <w:t>)</w:t>
            </w:r>
          </w:p>
        </w:tc>
      </w:tr>
      <w:tr w:rsidR="0029111A" w:rsidRPr="00F51A4C" w14:paraId="4F3E8CEB"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48DD75E7" w14:textId="77777777" w:rsidR="0029111A" w:rsidRPr="00F51A4C" w:rsidRDefault="0029111A" w:rsidP="00D0071E">
            <w:pPr>
              <w:pStyle w:val="MDPI42tablebody"/>
            </w:pPr>
            <w:r w:rsidRPr="00F51A4C">
              <w:t>1</w:t>
            </w:r>
          </w:p>
        </w:tc>
        <w:tc>
          <w:tcPr>
            <w:tcW w:w="1699" w:type="dxa"/>
          </w:tcPr>
          <w:p w14:paraId="7300F4E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125</w:t>
            </w:r>
          </w:p>
        </w:tc>
        <w:tc>
          <w:tcPr>
            <w:tcW w:w="1699" w:type="dxa"/>
          </w:tcPr>
          <w:p w14:paraId="06C162B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250</w:t>
            </w:r>
          </w:p>
        </w:tc>
        <w:tc>
          <w:tcPr>
            <w:tcW w:w="1699" w:type="dxa"/>
          </w:tcPr>
          <w:p w14:paraId="43F5FED8"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33.3/66.7</w:t>
            </w:r>
          </w:p>
        </w:tc>
      </w:tr>
      <w:tr w:rsidR="0029111A" w:rsidRPr="00F51A4C" w14:paraId="2D92BEC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2DB0F527" w14:textId="77777777" w:rsidR="0029111A" w:rsidRPr="00F51A4C" w:rsidRDefault="0029111A" w:rsidP="00D0071E">
            <w:pPr>
              <w:pStyle w:val="MDPI42tablebody"/>
            </w:pPr>
            <w:r w:rsidRPr="00F51A4C">
              <w:t>2</w:t>
            </w:r>
          </w:p>
        </w:tc>
        <w:tc>
          <w:tcPr>
            <w:tcW w:w="1699" w:type="dxa"/>
          </w:tcPr>
          <w:p w14:paraId="78B9B494"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075182B0"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5D0F4339"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50.0/50.0</w:t>
            </w:r>
          </w:p>
        </w:tc>
      </w:tr>
      <w:tr w:rsidR="0029111A" w:rsidRPr="00F51A4C" w14:paraId="7E43A296" w14:textId="77777777" w:rsidTr="00D0071E">
        <w:tc>
          <w:tcPr>
            <w:cnfStyle w:val="001000000000" w:firstRow="0" w:lastRow="0" w:firstColumn="1" w:lastColumn="0" w:oddVBand="0" w:evenVBand="0" w:oddHBand="0" w:evenHBand="0" w:firstRowFirstColumn="0" w:firstRowLastColumn="0" w:lastRowFirstColumn="0" w:lastRowLastColumn="0"/>
            <w:tcW w:w="1698" w:type="dxa"/>
          </w:tcPr>
          <w:p w14:paraId="71AD55F8" w14:textId="77777777" w:rsidR="0029111A" w:rsidRPr="00F51A4C" w:rsidRDefault="0029111A" w:rsidP="00D0071E">
            <w:pPr>
              <w:pStyle w:val="MDPI42tablebody"/>
            </w:pPr>
            <w:r w:rsidRPr="00F51A4C">
              <w:t>3</w:t>
            </w:r>
          </w:p>
        </w:tc>
        <w:tc>
          <w:tcPr>
            <w:tcW w:w="1699" w:type="dxa"/>
          </w:tcPr>
          <w:p w14:paraId="21C7F319"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375</w:t>
            </w:r>
          </w:p>
        </w:tc>
        <w:tc>
          <w:tcPr>
            <w:tcW w:w="1699" w:type="dxa"/>
          </w:tcPr>
          <w:p w14:paraId="0EC5BE0F"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250</w:t>
            </w:r>
          </w:p>
        </w:tc>
        <w:tc>
          <w:tcPr>
            <w:tcW w:w="1699" w:type="dxa"/>
          </w:tcPr>
          <w:p w14:paraId="5318ECDC" w14:textId="77777777" w:rsidR="0029111A" w:rsidRPr="00F51A4C" w:rsidRDefault="0029111A" w:rsidP="00D0071E">
            <w:pPr>
              <w:pStyle w:val="MDPI42tablebody"/>
              <w:cnfStyle w:val="000000000000" w:firstRow="0" w:lastRow="0" w:firstColumn="0" w:lastColumn="0" w:oddVBand="0" w:evenVBand="0" w:oddHBand="0" w:evenHBand="0" w:firstRowFirstColumn="0" w:firstRowLastColumn="0" w:lastRowFirstColumn="0" w:lastRowLastColumn="0"/>
            </w:pPr>
            <w:r w:rsidRPr="00F51A4C">
              <w:t>60.0/40.0</w:t>
            </w:r>
          </w:p>
        </w:tc>
      </w:tr>
      <w:tr w:rsidR="0029111A" w:rsidRPr="00F51A4C" w14:paraId="5A980E85" w14:textId="77777777" w:rsidTr="00D00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03C15F90" w14:textId="77777777" w:rsidR="0029111A" w:rsidRPr="00F51A4C" w:rsidRDefault="0029111A" w:rsidP="00D0071E">
            <w:pPr>
              <w:pStyle w:val="MDPI42tablebody"/>
            </w:pPr>
            <w:r w:rsidRPr="00F51A4C">
              <w:t>4</w:t>
            </w:r>
          </w:p>
        </w:tc>
        <w:tc>
          <w:tcPr>
            <w:tcW w:w="1699" w:type="dxa"/>
          </w:tcPr>
          <w:p w14:paraId="2C7BCF96"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500</w:t>
            </w:r>
          </w:p>
        </w:tc>
        <w:tc>
          <w:tcPr>
            <w:tcW w:w="1699" w:type="dxa"/>
          </w:tcPr>
          <w:p w14:paraId="24D770C8"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250</w:t>
            </w:r>
          </w:p>
        </w:tc>
        <w:tc>
          <w:tcPr>
            <w:tcW w:w="1699" w:type="dxa"/>
          </w:tcPr>
          <w:p w14:paraId="780E607A" w14:textId="77777777" w:rsidR="0029111A" w:rsidRPr="00F51A4C" w:rsidRDefault="0029111A" w:rsidP="00D0071E">
            <w:pPr>
              <w:pStyle w:val="MDPI42tablebody"/>
              <w:cnfStyle w:val="000000100000" w:firstRow="0" w:lastRow="0" w:firstColumn="0" w:lastColumn="0" w:oddVBand="0" w:evenVBand="0" w:oddHBand="1" w:evenHBand="0" w:firstRowFirstColumn="0" w:firstRowLastColumn="0" w:lastRowFirstColumn="0" w:lastRowLastColumn="0"/>
            </w:pPr>
            <w:r w:rsidRPr="00F51A4C">
              <w:t>66.7/33.3</w:t>
            </w:r>
          </w:p>
        </w:tc>
      </w:tr>
    </w:tbl>
    <w:p w14:paraId="1671FB3B" w14:textId="77777777" w:rsidR="0029111A" w:rsidRPr="00F51A4C" w:rsidRDefault="0029111A" w:rsidP="0029111A">
      <w:pPr>
        <w:spacing w:line="360" w:lineRule="auto"/>
        <w:rPr>
          <w:rFonts w:ascii="Times New Roman" w:hAnsi="Times New Roman"/>
          <w:sz w:val="24"/>
          <w:szCs w:val="24"/>
        </w:rPr>
      </w:pPr>
    </w:p>
    <w:p w14:paraId="2DBFC407" w14:textId="77777777" w:rsidR="0029111A" w:rsidRPr="00F51A4C" w:rsidRDefault="0029111A" w:rsidP="0029111A">
      <w:pPr>
        <w:pStyle w:val="MDPI31text"/>
      </w:pPr>
      <w:r w:rsidRPr="00F51A4C">
        <w:tab/>
        <w:t>To assemble the electrodes systems, the polyethylene terephthalate (PET) substrates, obtained by reusing beverage bottles, were cut, properly washed</w:t>
      </w:r>
      <w:r>
        <w:t>,</w:t>
      </w:r>
      <w:r w:rsidRPr="00F51A4C">
        <w:t xml:space="preserve"> and polished to enhance ink adhesion. After, adhesive paper sheets were cut by the cutting machine with a proper design, based on </w:t>
      </w:r>
      <w:r>
        <w:t xml:space="preserve">the </w:t>
      </w:r>
      <w:r w:rsidRPr="00F51A4C">
        <w:t>three-electrodes system. These adhesive masks were attached to the PET surface, and the ink was applied over them. After 10 min of drying, a second ink layer was produced, and it was left to dry at 19 °C. After the paper masks were removed and the system was ready to use. Figure 1 illustrates the whole process.</w:t>
      </w:r>
    </w:p>
    <w:p w14:paraId="30CFFFDC" w14:textId="77777777" w:rsidR="0029111A" w:rsidRPr="00F51A4C" w:rsidRDefault="0029111A" w:rsidP="0029111A">
      <w:pPr>
        <w:spacing w:line="360" w:lineRule="auto"/>
        <w:rPr>
          <w:rFonts w:ascii="Times New Roman" w:hAnsi="Times New Roman"/>
          <w:sz w:val="24"/>
          <w:szCs w:val="24"/>
        </w:rPr>
      </w:pPr>
    </w:p>
    <w:p w14:paraId="3697610E" w14:textId="77777777" w:rsidR="0029111A" w:rsidRPr="00F51A4C" w:rsidRDefault="0029111A" w:rsidP="0029111A">
      <w:pPr>
        <w:spacing w:line="360" w:lineRule="auto"/>
        <w:ind w:left="-709"/>
        <w:jc w:val="center"/>
        <w:rPr>
          <w:rFonts w:ascii="Times New Roman" w:hAnsi="Times New Roman"/>
          <w:i/>
          <w:iCs/>
          <w:sz w:val="24"/>
          <w:szCs w:val="24"/>
        </w:rPr>
      </w:pPr>
      <w:r w:rsidRPr="00F51A4C">
        <w:rPr>
          <w:rFonts w:ascii="Times New Roman" w:hAnsi="Times New Roman"/>
          <w:sz w:val="24"/>
          <w:szCs w:val="24"/>
          <w:lang w:val="en-GB"/>
        </w:rPr>
        <w:lastRenderedPageBreak/>
        <w:drawing>
          <wp:inline distT="0" distB="0" distL="0" distR="0" wp14:anchorId="261967BD" wp14:editId="37AD7615">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68733086" w14:textId="77777777" w:rsidR="0029111A" w:rsidRDefault="0029111A" w:rsidP="00CF77B4">
      <w:pPr>
        <w:pStyle w:val="MDPI51figurecaption"/>
      </w:pPr>
      <w:r w:rsidRPr="00F51A4C">
        <w:rPr>
          <w:b/>
          <w:bCs/>
        </w:rPr>
        <w:t>Figure 1</w:t>
      </w:r>
      <w:r w:rsidRPr="00F51A4C">
        <w:t>. Experimental procedure representation: (1) elaboration of the CB and CA base dispersions; (2) ink preparation; (3) electrode assemble by screen printing technique over PET substrates; (4) finalized capacitor electrode ready for (5) electrochemical analyses</w:t>
      </w:r>
    </w:p>
    <w:p w14:paraId="79F74266" w14:textId="77777777" w:rsidR="004E1718" w:rsidRPr="001F31D1" w:rsidRDefault="004E1718" w:rsidP="00BA49CB">
      <w:pPr>
        <w:pStyle w:val="MDPI21heading1"/>
      </w:pPr>
      <w:r w:rsidRPr="001F31D1">
        <w:t>3. Results</w:t>
      </w:r>
    </w:p>
    <w:p w14:paraId="2CCED09E" w14:textId="77777777" w:rsidR="0029111A" w:rsidRPr="00F51A4C" w:rsidRDefault="0029111A" w:rsidP="00CF77B4">
      <w:pPr>
        <w:pStyle w:val="MDPI22heading2"/>
        <w:rPr>
          <w:color w:val="000000" w:themeColor="text1"/>
        </w:rPr>
      </w:pPr>
      <w:r w:rsidRPr="00F51A4C">
        <w:t>3.1 Electrochemical and morphological characterizations</w:t>
      </w:r>
    </w:p>
    <w:p w14:paraId="15260DB9" w14:textId="66B6EF60" w:rsidR="0029111A" w:rsidRPr="00F51A4C" w:rsidRDefault="0029111A" w:rsidP="00CF77B4">
      <w:pPr>
        <w:pStyle w:val="MDPI31text"/>
      </w:pPr>
      <w:r>
        <w:t>T</w:t>
      </w:r>
      <w:r w:rsidRPr="00F51A4C">
        <w:t>o understand the CB/CA ink capacitive behavior, different characterization procedures should be investigated. Therefore, the first electrochemical study performed was a profile determining cyclic voltammetry (CV) technique, aiming to analyze and compare the four different ink formulations, based on each specific capacitance (SC) response at different electrolytes: an acid (H</w:t>
      </w:r>
      <w:r w:rsidRPr="00F51A4C">
        <w:rPr>
          <w:vertAlign w:val="subscript"/>
        </w:rPr>
        <w:t>2</w:t>
      </w:r>
      <w:r w:rsidRPr="00F51A4C">
        <w:t>SO</w:t>
      </w:r>
      <w:r w:rsidRPr="00F51A4C">
        <w:rPr>
          <w:vertAlign w:val="subscript"/>
        </w:rPr>
        <w:t>4</w:t>
      </w:r>
      <w:r w:rsidRPr="00F51A4C">
        <w:t>), a saline (Na</w:t>
      </w:r>
      <w:r w:rsidRPr="00F51A4C">
        <w:rPr>
          <w:vertAlign w:val="subscript"/>
        </w:rPr>
        <w:t>2</w:t>
      </w:r>
      <w:r w:rsidRPr="00F51A4C">
        <w:t>SO</w:t>
      </w:r>
      <w:r w:rsidRPr="00F51A4C">
        <w:rPr>
          <w:vertAlign w:val="subscript"/>
        </w:rPr>
        <w:t>4</w:t>
      </w:r>
      <w:r w:rsidRPr="00F51A4C">
        <w:t>) and a basic (KOH) media, with respective 1.0 mol L</w:t>
      </w:r>
      <w:r w:rsidRPr="00F51A4C">
        <w:rPr>
          <w:rFonts w:ascii="Symbol" w:hAnsi="Symbol"/>
          <w:vertAlign w:val="superscript"/>
        </w:rPr>
        <w:t>-</w:t>
      </w:r>
      <w:r w:rsidRPr="00F51A4C">
        <w:rPr>
          <w:vertAlign w:val="superscript"/>
        </w:rPr>
        <w:t>1</w:t>
      </w:r>
      <w:r w:rsidRPr="00F51A4C">
        <w:t xml:space="preserve"> concentration. Properties such as active surface area, porosity</w:t>
      </w:r>
      <w:r>
        <w:t>,</w:t>
      </w:r>
      <w:r w:rsidRPr="00F51A4C">
        <w:t xml:space="preserve"> and conductivity are crucial points in the development of electrochemical capacitors, and this is directly influenced by the amount of carbonaceous material used </w:t>
      </w:r>
      <w:r w:rsidRPr="00F51A4C">
        <w:fldChar w:fldCharType="begin"/>
      </w:r>
      <w:r w:rsidR="00CE50FD">
        <w:instrText xml:space="preserve"> ADDIN EN.CITE &lt;EndNote&gt;&lt;Cite&gt;&lt;Author&gt;Liu&lt;/Author&gt;&lt;Year&gt;2010&lt;/Year&gt;&lt;RecNum&gt;675&lt;/RecNum&gt;&lt;DisplayText&gt;[35]&lt;/DisplayText&gt;&lt;record&gt;&lt;rec-number&gt;675&lt;/rec-number&gt;&lt;foreign-keys&gt;&lt;key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Pr="00F51A4C">
        <w:fldChar w:fldCharType="separate"/>
      </w:r>
      <w:r w:rsidR="00CE50FD">
        <w:rPr>
          <w:noProof/>
        </w:rPr>
        <w:t>[35]</w:t>
      </w:r>
      <w:r w:rsidRPr="00F51A4C">
        <w:fldChar w:fldCharType="end"/>
      </w:r>
      <w:r w:rsidRPr="00F51A4C">
        <w:t>. Thus, the voltammetric profiles in Figures 2A (acidic), 2B (</w:t>
      </w:r>
      <w:r w:rsidR="002A6166">
        <w:t>alkaline</w:t>
      </w:r>
      <w:r w:rsidRPr="00F51A4C">
        <w:t>)</w:t>
      </w:r>
      <w:r>
        <w:t>,</w:t>
      </w:r>
      <w:r w:rsidRPr="00F51A4C">
        <w:t xml:space="preserve"> and 2C (</w:t>
      </w:r>
      <w:r w:rsidR="002A6166">
        <w:t>saline</w:t>
      </w:r>
      <w:r w:rsidRPr="00F51A4C">
        <w:t>), obtained by different CB/CA compositions, demonstrate that, majorly, the</w:t>
      </w:r>
      <w:r>
        <w:t xml:space="preserve"> capacitive current is predomina</w:t>
      </w:r>
      <w:r w:rsidRPr="00F51A4C">
        <w:t>nt, even though a few electrodes presented redox interactions, limiting their use as capacitive devices. This highly capacitive behavior indicates that the materials perform energy storage through an expansion in the electrical double layer, storing charges directly on the double</w:t>
      </w:r>
      <w:r>
        <w:t>-</w:t>
      </w:r>
      <w:r w:rsidRPr="00F51A4C">
        <w:t xml:space="preserve">layer </w:t>
      </w:r>
      <w:r w:rsidRPr="00F51A4C">
        <w:fldChar w:fldCharType="begin"/>
      </w:r>
      <w:r w:rsidR="00CE50FD">
        <w:instrText xml:space="preserve"> ADDIN EN.CITE &lt;EndNote&gt;&lt;Cite&gt;&lt;Author&gt;Danaee&lt;/Author&gt;&lt;Year&gt;2009&lt;/Year&gt;&lt;RecNum&gt;676&lt;/RecNum&gt;&lt;DisplayText&gt;[36]&lt;/DisplayText&gt;&lt;record&gt;&lt;rec-number&gt;676&lt;/rec-number&gt;&lt;foreign-keys&gt;&lt;key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Pr="00F51A4C">
        <w:fldChar w:fldCharType="separate"/>
      </w:r>
      <w:r w:rsidR="00CE50FD">
        <w:rPr>
          <w:noProof/>
        </w:rPr>
        <w:t>[36]</w:t>
      </w:r>
      <w:r w:rsidRPr="00F51A4C">
        <w:fldChar w:fldCharType="end"/>
      </w:r>
      <w:r w:rsidRPr="00F51A4C">
        <w:t xml:space="preserve">. This class of devices is commonly called an expanded double-layer capacitor (EDLC) </w:t>
      </w:r>
      <w:r w:rsidRPr="00F51A4C">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instrText xml:space="preserve"> ADDIN EN.CITE </w:instrText>
      </w:r>
      <w:r w:rsidR="00CE50FD">
        <w:fldChar w:fldCharType="begin">
          <w:fldData xml:space="preserve">PEVuZE5vdGU+PENpdGU+PEF1dGhvcj5LcmF1c2U8L0F1dGhvcj48WWVhcj4yMDExPC9ZZWFyPjxS
ZWNOdW0+Njc3PC9SZWNOdW0+PERpc3BsYXlUZXh0PlszNywgMzhdPC9EaXNwbGF5VGV4dD48cmVj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CE50FD">
        <w:instrText xml:space="preserve"> ADDIN EN.CITE.DATA </w:instrText>
      </w:r>
      <w:r w:rsidR="00CE50FD">
        <w:fldChar w:fldCharType="end"/>
      </w:r>
      <w:r w:rsidRPr="00F51A4C">
        <w:fldChar w:fldCharType="separate"/>
      </w:r>
      <w:r w:rsidR="00CE50FD">
        <w:rPr>
          <w:noProof/>
        </w:rPr>
        <w:t>[37, 38]</w:t>
      </w:r>
      <w:r w:rsidRPr="00F51A4C">
        <w:fldChar w:fldCharType="end"/>
      </w:r>
      <w:r w:rsidRPr="00F51A4C">
        <w:t>.</w:t>
      </w:r>
    </w:p>
    <w:p w14:paraId="6FE94141" w14:textId="74E7FBF2" w:rsidR="0029111A" w:rsidRPr="00F51A4C" w:rsidRDefault="0029111A" w:rsidP="00CF77B4">
      <w:pPr>
        <w:pStyle w:val="MDPI31text"/>
      </w:pPr>
      <w:r w:rsidRPr="00AF35AC">
        <w:t xml:space="preserve">This characteristic profile observed is possibly caused by the presence of discrete pores, typical of carbonaceous materials, where the carbon atoms of the CB are compacted at the edges of the channel </w:t>
      </w:r>
      <w:r w:rsidRPr="00AF35AC">
        <w:fldChar w:fldCharType="begin"/>
      </w:r>
      <w:r w:rsidR="00CE50FD">
        <w:instrText xml:space="preserve"> ADDIN EN.CITE &lt;EndNote&gt;&lt;Cite&gt;&lt;Author&gt;Khamkeaw&lt;/Author&gt;&lt;Year&gt;2020&lt;/Year&gt;&lt;RecNum&gt;686&lt;/RecNum&gt;&lt;DisplayText&gt;[39]&lt;/DisplayText&gt;&lt;record&gt;&lt;rec-number&gt;686&lt;/rec-number&gt;&lt;foreign-keys&gt;&lt;key app="EN" db-id="x2trtpa9deva2oetdsopztd6sp0sd92rpee2" timestamp="1650470834"&gt;686&lt;/key&gt;&lt;/foreign-keys&gt;&lt;ref-type name="Journal Article"&gt;17&lt;/ref-type&gt;&lt;contributors&gt;&lt;authors&gt;&lt;author&gt;Khamkeaw, Arnon&lt;/author&gt;&lt;author&gt;Asavamongkolkul, Tatdanai&lt;/author&gt;&lt;author&gt;Perngyai, Tianpichet&lt;/author&gt;&lt;author&gt;Jongsomjit, Bunjerd&lt;/author&gt;&lt;author&gt;Phisalaphong, Muenduen&lt;/author&gt;&lt;/authors&gt;&lt;/contributors&gt;&lt;titles&gt;&lt;title&gt;Interconnected Micro, Meso, and Macro Porous Activated Carbon from Bacterial Nanocellulose for Superior Adsorption Properties and Effective Catalytic Performance&lt;/title&gt;&lt;secondary-title&gt;Molecules&lt;/secondary-title&gt;&lt;/titles&gt;&lt;periodical&gt;&lt;full-title&gt;Molecules&lt;/full-title&gt;&lt;/periodical&gt;&lt;pages&gt;4063&lt;/pages&gt;&lt;volume&gt;25&lt;/volume&gt;&lt;number&gt;18&lt;/number&gt;&lt;dates&gt;&lt;year&gt;2020&lt;/year&gt;&lt;/dates&gt;&lt;publisher&gt;Multidisciplinary Digital Publishing Institute&lt;/publisher&gt;&lt;urls&gt;&lt;/urls&gt;&lt;/record&gt;&lt;/Cite&gt;&lt;/EndNote&gt;</w:instrText>
      </w:r>
      <w:r w:rsidRPr="00AF35AC">
        <w:fldChar w:fldCharType="separate"/>
      </w:r>
      <w:r w:rsidR="00CE50FD">
        <w:rPr>
          <w:noProof/>
        </w:rPr>
        <w:t>[39]</w:t>
      </w:r>
      <w:r w:rsidRPr="00AF35AC">
        <w:fldChar w:fldCharType="end"/>
      </w:r>
      <w:r w:rsidRPr="00AF35AC">
        <w:t xml:space="preserve">. In </w:t>
      </w:r>
      <w:r w:rsidRPr="00F51A4C">
        <w:t>Figure 2</w:t>
      </w:r>
      <w:r>
        <w:t>,</w:t>
      </w:r>
      <w:r w:rsidRPr="00F51A4C">
        <w:t xml:space="preserve"> </w:t>
      </w:r>
      <w:r>
        <w:t xml:space="preserve">the </w:t>
      </w:r>
      <w:r w:rsidRPr="00F51A4C">
        <w:t>voltammograms demonstrate an approximately rectangular volta</w:t>
      </w:r>
      <w:r>
        <w:t>m</w:t>
      </w:r>
      <w:r w:rsidRPr="00F51A4C">
        <w:t xml:space="preserve">metric profile, a characteristic near-ideal capacitor behavior, which </w:t>
      </w:r>
      <w:r>
        <w:t xml:space="preserve">is </w:t>
      </w:r>
      <w:r w:rsidRPr="00F51A4C">
        <w:t xml:space="preserve">justified by diffusion processes. Also, this study shows that the variation of current flowing through the circuit increases linearly with the CB concentration, indicating that the larger amounts of CB enhance the capacitive behavior. Probably, this functions </w:t>
      </w:r>
      <w:r>
        <w:t>to</w:t>
      </w:r>
      <w:r w:rsidRPr="00F51A4C">
        <w:t xml:space="preserve"> the increase in </w:t>
      </w:r>
      <w:r>
        <w:t xml:space="preserve">the </w:t>
      </w:r>
      <w:r w:rsidRPr="00F51A4C">
        <w:t xml:space="preserve">number of active sites, due to the higher atomic density, contributing </w:t>
      </w:r>
      <w:r>
        <w:t>to</w:t>
      </w:r>
      <w:r w:rsidRPr="00F51A4C">
        <w:t xml:space="preserve"> the double layer formation process </w:t>
      </w:r>
      <w:r w:rsidRPr="00F51A4C">
        <w:fldChar w:fldCharType="begin"/>
      </w:r>
      <w:r w:rsidR="00CE50FD">
        <w:instrText xml:space="preserve"> ADDIN EN.CITE &lt;EndNote&gt;&lt;Cite&gt;&lt;Author&gt;Ma&lt;/Author&gt;&lt;Year&gt;2019&lt;/Year&gt;&lt;RecNum&gt;678&lt;/RecNum&gt;&lt;DisplayText&gt;[38]&lt;/DisplayText&gt;&lt;record&gt;&lt;rec-number&gt;678&lt;/rec-number&gt;&lt;foreign-keys&gt;&lt;key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Pr="00F51A4C">
        <w:fldChar w:fldCharType="separate"/>
      </w:r>
      <w:r w:rsidR="00CE50FD">
        <w:rPr>
          <w:noProof/>
        </w:rPr>
        <w:t>[38]</w:t>
      </w:r>
      <w:r w:rsidRPr="00F51A4C">
        <w:fldChar w:fldCharType="end"/>
      </w:r>
      <w:r w:rsidRPr="00F51A4C">
        <w:t>.</w:t>
      </w:r>
      <w:r w:rsidRPr="00F51A4C">
        <w:rPr>
          <w:color w:val="FF0000"/>
        </w:rPr>
        <w:t xml:space="preserve"> </w:t>
      </w:r>
      <w:r w:rsidR="00914D5E" w:rsidRPr="00914D5E">
        <w:rPr>
          <w:highlight w:val="yellow"/>
        </w:rPr>
        <w:t>It is also interesting to highlight the presence of anodic and cathodic peaks in Figure 2C, mainly for the 60.0/40.0 and 50.0/50.0 % (w/w). To these phenomena is attributed the result of electroactive surface functional groups redox reactions, such as phenols, ketones and carboxylic structures</w:t>
      </w:r>
      <w:r w:rsidR="007A3D12">
        <w:rPr>
          <w:highlight w:val="yellow"/>
        </w:rPr>
        <w:t xml:space="preserve"> </w:t>
      </w:r>
      <w:r w:rsidR="007A3D12">
        <w:rPr>
          <w:highlight w:val="yellow"/>
        </w:rPr>
        <w:fldChar w:fldCharType="begin"/>
      </w:r>
      <w:r w:rsidR="00CE50FD">
        <w:rPr>
          <w:highlight w:val="yellow"/>
        </w:rPr>
        <w:instrText xml:space="preserve"> ADDIN EN.CITE &lt;EndNote&gt;&lt;Cite&gt;&lt;Author&gt;Toupin&lt;/Author&gt;&lt;Year&gt;2005&lt;/Year&gt;&lt;RecNum&gt;713&lt;/RecNum&gt;&lt;DisplayText&gt;[40, 41]&lt;/DisplayText&gt;&lt;record&gt;&lt;rec-number&gt;713&lt;/rec-number&gt;&lt;foreign-keys&gt;&lt;key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Frackowiak&lt;/Author&gt;&lt;Year&gt;2001&lt;/Year&gt;&lt;RecNum&gt;714&lt;/RecNum&gt;&lt;record&gt;&lt;rec-number&gt;714&lt;/rec-number&gt;&lt;foreign-keys&gt;&lt;key app="EN" db-id="x2trtpa9deva2oetdsopztd6sp0sd92rpee2" timestamp="1652370283"&gt;714&lt;/key&gt;&lt;/foreign-keys&gt;&lt;ref-type name="Journal Article"&gt;17&lt;/ref-type&gt;&lt;contributors&gt;&lt;authors&gt;&lt;author&gt;Frackowiak, Elzbieta&lt;/author&gt;&lt;author&gt;Beguin, Francois&lt;/author&gt;&lt;/authors&gt;&lt;/contributors&gt;&lt;titles&gt;&lt;title&gt;Carbon materials for the electrochemical storage of energy in capacitors&lt;/title&gt;&lt;secondary-title&gt;Carbon&lt;/secondary-title&gt;&lt;/titles&gt;&lt;periodical&gt;&lt;full-title&gt;Carbon&lt;/full-title&gt;&lt;/periodical&gt;&lt;pages&gt;937-950&lt;/pages&gt;&lt;volume&gt;39&lt;/volume&gt;&lt;number&gt;6&lt;/number&gt;&lt;dates&gt;&lt;year&gt;2001&lt;/year&gt;&lt;/dates&gt;&lt;publisher&gt;Elsevier&lt;/publisher&gt;&lt;isbn&gt;0008-6223&lt;/isbn&gt;&lt;urls&gt;&lt;/urls&gt;&lt;/record&gt;&lt;/Cite&gt;&lt;/EndNote&gt;</w:instrText>
      </w:r>
      <w:r w:rsidR="007A3D12">
        <w:rPr>
          <w:highlight w:val="yellow"/>
        </w:rPr>
        <w:fldChar w:fldCharType="separate"/>
      </w:r>
      <w:r w:rsidR="00CE50FD">
        <w:rPr>
          <w:noProof/>
          <w:highlight w:val="yellow"/>
        </w:rPr>
        <w:t>[40, 41]</w:t>
      </w:r>
      <w:r w:rsidR="007A3D12">
        <w:rPr>
          <w:highlight w:val="yellow"/>
        </w:rPr>
        <w:fldChar w:fldCharType="end"/>
      </w:r>
      <w:r w:rsidR="00914D5E" w:rsidRPr="00914D5E">
        <w:rPr>
          <w:highlight w:val="yellow"/>
        </w:rPr>
        <w:t xml:space="preserve">. This process </w:t>
      </w:r>
      <w:r w:rsidR="00914D5E" w:rsidRPr="00914D5E">
        <w:rPr>
          <w:highlight w:val="yellow"/>
        </w:rPr>
        <w:lastRenderedPageBreak/>
        <w:t xml:space="preserve">could generate </w:t>
      </w:r>
      <w:proofErr w:type="spellStart"/>
      <w:r w:rsidR="00914D5E" w:rsidRPr="00914D5E">
        <w:rPr>
          <w:highlight w:val="yellow"/>
        </w:rPr>
        <w:t>pseudocapacitance</w:t>
      </w:r>
      <w:proofErr w:type="spellEnd"/>
      <w:r w:rsidR="00914D5E" w:rsidRPr="00914D5E">
        <w:rPr>
          <w:highlight w:val="yellow"/>
        </w:rPr>
        <w:t>, but with uncertain benefits, as the self-discharge rate of such groups is higher than the overall surface</w:t>
      </w:r>
      <w:r w:rsidR="00914D5E">
        <w:rPr>
          <w:highlight w:val="yellow"/>
        </w:rPr>
        <w:t xml:space="preserve"> </w:t>
      </w:r>
      <w:r w:rsidR="007A3D12">
        <w:rPr>
          <w:highlight w:val="yellow"/>
        </w:rPr>
        <w:fldChar w:fldCharType="begin"/>
      </w:r>
      <w:r w:rsidR="00CE50FD">
        <w:rPr>
          <w:highlight w:val="yellow"/>
        </w:rPr>
        <w:instrText xml:space="preserve"> ADDIN EN.CITE &lt;EndNote&gt;&lt;Cite&gt;&lt;Author&gt;Toupin&lt;/Author&gt;&lt;Year&gt;2005&lt;/Year&gt;&lt;RecNum&gt;713&lt;/RecNum&gt;&lt;DisplayText&gt;[40, 42]&lt;/DisplayText&gt;&lt;record&gt;&lt;rec-number&gt;713&lt;/rec-number&gt;&lt;foreign-keys&gt;&lt;key app="EN" db-id="x2trtpa9deva2oetdsopztd6sp0sd92rpee2" timestamp="1652370208"&gt;713&lt;/key&gt;&lt;/foreign-keys&gt;&lt;ref-type name="Journal Article"&gt;17&lt;/ref-type&gt;&lt;contributors&gt;&lt;authors&gt;&lt;author&gt;Toupin, Mathieu&lt;/author&gt;&lt;author&gt;Bélanger, Daniel&lt;/author&gt;&lt;author&gt;Hill, Ian R&lt;/author&gt;&lt;author&gt;Quinn, David&lt;/author&gt;&lt;/authors&gt;&lt;/contributors&gt;&lt;titles&gt;&lt;title&gt;Performance of experimental carbon blacks in aqueous supercapacitors&lt;/title&gt;&lt;secondary-title&gt;Journal of power sources&lt;/secondary-title&gt;&lt;/titles&gt;&lt;periodical&gt;&lt;full-title&gt;Journal of Power Sources&lt;/full-title&gt;&lt;/periodical&gt;&lt;pages&gt;203-210&lt;/pages&gt;&lt;volume&gt;140&lt;/volume&gt;&lt;number&gt;1&lt;/number&gt;&lt;dates&gt;&lt;year&gt;2005&lt;/year&gt;&lt;/dates&gt;&lt;isbn&gt;0378-7753&lt;/isbn&gt;&lt;urls&gt;&lt;/urls&gt;&lt;/record&gt;&lt;/Cite&gt;&lt;Cite&gt;&lt;Author&gt;Conway&lt;/Author&gt;&lt;Year&gt;2013&lt;/Year&gt;&lt;RecNum&gt;715&lt;/RecNum&gt;&lt;record&gt;&lt;rec-number&gt;715&lt;/rec-number&gt;&lt;foreign-keys&gt;&lt;key app="EN" db-id="x2trtpa9deva2oetdsopztd6sp0sd92rpee2" timestamp="1652370337"&gt;715&lt;/key&gt;&lt;/foreign-keys&gt;&lt;ref-type name="Book"&gt;6&lt;/ref-type&gt;&lt;contributors&gt;&lt;authors&gt;&lt;author&gt;Conway, Brian E.&lt;/author&gt;&lt;/authors&gt;&lt;/contributors&gt;&lt;titles&gt;&lt;title&gt;Electrochemical supercapacitors: scientific fundamentals and technological applications&lt;/title&gt;&lt;/titles&gt;&lt;dates&gt;&lt;year&gt;2013&lt;/year&gt;&lt;/dates&gt;&lt;publisher&gt;Springer Science &amp;amp; Business Media&lt;/publisher&gt;&lt;isbn&gt;1475730586&lt;/isbn&gt;&lt;urls&gt;&lt;/urls&gt;&lt;/record&gt;&lt;/Cite&gt;&lt;/EndNote&gt;</w:instrText>
      </w:r>
      <w:r w:rsidR="007A3D12">
        <w:rPr>
          <w:highlight w:val="yellow"/>
        </w:rPr>
        <w:fldChar w:fldCharType="separate"/>
      </w:r>
      <w:r w:rsidR="00CE50FD">
        <w:rPr>
          <w:noProof/>
          <w:highlight w:val="yellow"/>
        </w:rPr>
        <w:t>[40, 42]</w:t>
      </w:r>
      <w:r w:rsidR="007A3D12">
        <w:rPr>
          <w:highlight w:val="yellow"/>
        </w:rPr>
        <w:fldChar w:fldCharType="end"/>
      </w:r>
      <w:r w:rsidR="00914D5E" w:rsidRPr="00914D5E">
        <w:rPr>
          <w:highlight w:val="yellow"/>
        </w:rPr>
        <w:t>.</w:t>
      </w:r>
      <w:r w:rsidR="00914D5E">
        <w:t xml:space="preserve"> </w:t>
      </w:r>
      <w:r w:rsidR="00914D5E" w:rsidRPr="00F51A4C">
        <w:t>Herewith, the ink containing the highest quantity of CB (66.7/33.3%, w/w) was chosen to continue this work.</w:t>
      </w:r>
    </w:p>
    <w:p w14:paraId="62794CA7" w14:textId="77777777" w:rsidR="0029111A" w:rsidRPr="00F51A4C" w:rsidRDefault="0029111A" w:rsidP="0029111A">
      <w:pPr>
        <w:spacing w:line="360" w:lineRule="auto"/>
        <w:rPr>
          <w:rFonts w:ascii="Times New Roman" w:hAnsi="Times New Roman"/>
          <w:sz w:val="24"/>
          <w:szCs w:val="24"/>
        </w:rPr>
      </w:pPr>
    </w:p>
    <w:p w14:paraId="627E8E30" w14:textId="77777777" w:rsidR="0029111A" w:rsidRPr="00F51A4C" w:rsidRDefault="0029111A" w:rsidP="005A2215">
      <w:pPr>
        <w:spacing w:line="360" w:lineRule="auto"/>
        <w:ind w:left="2127"/>
        <w:rPr>
          <w:rFonts w:ascii="Times New Roman" w:hAnsi="Times New Roman"/>
          <w:sz w:val="24"/>
          <w:szCs w:val="24"/>
        </w:rPr>
      </w:pPr>
      <w:r w:rsidRPr="00F51A4C">
        <w:rPr>
          <w:rFonts w:ascii="Times New Roman" w:hAnsi="Times New Roman"/>
          <w:sz w:val="24"/>
          <w:szCs w:val="24"/>
        </w:rPr>
        <w:drawing>
          <wp:inline distT="0" distB="0" distL="0" distR="0" wp14:anchorId="315C6C9E" wp14:editId="41BFA8C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2C21BA61" w14:textId="58088FF4" w:rsidR="0029111A" w:rsidRPr="00F51A4C" w:rsidRDefault="0029111A" w:rsidP="00CF77B4">
      <w:pPr>
        <w:pStyle w:val="MDPI51figurecaption"/>
        <w:rPr>
          <w:sz w:val="20"/>
        </w:rPr>
      </w:pPr>
      <w:bookmarkStart w:id="0" w:name="_Hlk86689437"/>
      <w:bookmarkStart w:id="1" w:name="_Hlk86689503"/>
      <w:bookmarkEnd w:id="0"/>
      <w:bookmarkEnd w:id="1"/>
      <w:r w:rsidRPr="00F51A4C">
        <w:rPr>
          <w:b/>
          <w:bCs/>
        </w:rPr>
        <w:t>Figure 2</w:t>
      </w:r>
      <w:r w:rsidRPr="00F51A4C">
        <w:t>.</w:t>
      </w:r>
      <w:r w:rsidRPr="00F51A4C">
        <w:rPr>
          <w:b/>
          <w:bCs/>
        </w:rPr>
        <w:t xml:space="preserve"> </w:t>
      </w:r>
      <w:r w:rsidRPr="00F51A4C">
        <w:t>Cyclic voltammograms of different CB/CA formulations: 33.3/66.7 (</w:t>
      </w:r>
      <w:r w:rsidRPr="00F51A4C">
        <w:rPr>
          <w:b/>
          <w:bCs/>
        </w:rPr>
        <w:t>black</w:t>
      </w:r>
      <w:r w:rsidRPr="00F51A4C">
        <w:t>), 50.0/50.0 (</w:t>
      </w:r>
      <w:r w:rsidRPr="00F51A4C">
        <w:rPr>
          <w:b/>
          <w:bCs/>
          <w:color w:val="FF0000"/>
        </w:rPr>
        <w:t>red</w:t>
      </w:r>
      <w:r w:rsidRPr="00F51A4C">
        <w:t>), 60.0/40.0 (</w:t>
      </w:r>
      <w:r w:rsidRPr="00F51A4C">
        <w:rPr>
          <w:b/>
          <w:bCs/>
          <w:color w:val="0000FF"/>
        </w:rPr>
        <w:t>blue</w:t>
      </w:r>
      <w:r w:rsidRPr="00F51A4C">
        <w:t>) and 66.7/33.3% (</w:t>
      </w:r>
      <w:r w:rsidRPr="00F51A4C">
        <w:rPr>
          <w:b/>
          <w:bCs/>
          <w:color w:val="FF00FF"/>
        </w:rPr>
        <w:t>pink</w:t>
      </w:r>
      <w:r w:rsidRPr="00F51A4C">
        <w:t xml:space="preserve">); in </w:t>
      </w:r>
      <w:r w:rsidRPr="00F51A4C">
        <w:rPr>
          <w:b/>
          <w:bCs/>
        </w:rPr>
        <w:t>(A)</w:t>
      </w:r>
      <w:r w:rsidRPr="00F51A4C">
        <w:t xml:space="preserve">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b/>
          <w:bCs/>
        </w:rPr>
        <w:t>(B)</w:t>
      </w:r>
      <w:r w:rsidRPr="00F51A4C">
        <w:t xml:space="preserve"> 1.0 mol L</w:t>
      </w:r>
      <w:r w:rsidRPr="00F51A4C">
        <w:rPr>
          <w:rFonts w:ascii="Symbol" w:hAnsi="Symbol"/>
          <w:vertAlign w:val="superscript"/>
        </w:rPr>
        <w:t>-</w:t>
      </w:r>
      <w:r w:rsidRPr="00F51A4C">
        <w:rPr>
          <w:vertAlign w:val="superscript"/>
        </w:rPr>
        <w:t xml:space="preserve">1 </w:t>
      </w:r>
      <w:r w:rsidRPr="00F51A4C">
        <w:t xml:space="preserve">KOH and </w:t>
      </w:r>
      <w:r w:rsidRPr="00F51A4C">
        <w:rPr>
          <w:b/>
          <w:bCs/>
        </w:rPr>
        <w:t>(C)</w:t>
      </w:r>
      <w:r w:rsidRPr="00F51A4C">
        <w:t xml:space="preserve"> 1.0 mol L</w:t>
      </w:r>
      <w:r w:rsidRPr="00F51A4C">
        <w:rPr>
          <w:rFonts w:ascii="Symbol" w:hAnsi="Symbol"/>
          <w:vertAlign w:val="superscript"/>
        </w:rPr>
        <w:t>-</w:t>
      </w:r>
      <w:r w:rsidRPr="00F51A4C">
        <w:rPr>
          <w:vertAlign w:val="superscript"/>
        </w:rPr>
        <w:t>1</w:t>
      </w:r>
      <w:r w:rsidRPr="00F51A4C">
        <w:t xml:space="preserve"> Na</w:t>
      </w:r>
      <w:r w:rsidRPr="00F51A4C">
        <w:rPr>
          <w:vertAlign w:val="subscript"/>
        </w:rPr>
        <w:t>2</w:t>
      </w:r>
      <w:r w:rsidRPr="00F51A4C">
        <w:t>SO</w:t>
      </w:r>
      <w:r w:rsidRPr="00F51A4C">
        <w:rPr>
          <w:vertAlign w:val="subscript"/>
        </w:rPr>
        <w:t>4</w:t>
      </w:r>
      <w:r w:rsidRPr="00F51A4C">
        <w:t xml:space="preserve">; </w:t>
      </w:r>
      <w:r w:rsidRPr="00F51A4C">
        <w:rPr>
          <w:rFonts w:ascii="Symbol" w:hAnsi="Symbol"/>
        </w:rPr>
        <w:t>n</w:t>
      </w:r>
      <w:r w:rsidRPr="00F51A4C">
        <w:t xml:space="preserve"> = </w:t>
      </w:r>
      <w:r w:rsidR="00121DAE">
        <w:t>1</w:t>
      </w:r>
      <w:r w:rsidRPr="00F51A4C">
        <w:t>0 mV s</w:t>
      </w:r>
      <w:r w:rsidRPr="00F51A4C">
        <w:rPr>
          <w:rFonts w:ascii="Symbol" w:hAnsi="Symbol"/>
          <w:vertAlign w:val="superscript"/>
        </w:rPr>
        <w:t>-</w:t>
      </w:r>
      <w:r w:rsidRPr="00F51A4C">
        <w:rPr>
          <w:vertAlign w:val="superscript"/>
        </w:rPr>
        <w:t>1</w:t>
      </w:r>
      <w:r w:rsidRPr="00F51A4C">
        <w:t xml:space="preserve"> (D) SC </w:t>
      </w:r>
      <w:r w:rsidRPr="00F51A4C">
        <w:rPr>
          <w:i/>
          <w:iCs/>
        </w:rPr>
        <w:t>vs</w:t>
      </w:r>
      <w:r w:rsidRPr="00F51A4C">
        <w:t xml:space="preserve"> scan rate plots for 66.7/33.3% CB/CA at equimolar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 xml:space="preserve">4 </w:t>
      </w:r>
      <w:r w:rsidRPr="00F51A4C">
        <w:t>(</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solutions</w:t>
      </w:r>
    </w:p>
    <w:p w14:paraId="24F7E725" w14:textId="77777777" w:rsidR="0029111A" w:rsidRPr="00F51A4C" w:rsidRDefault="0029111A" w:rsidP="00CF77B4">
      <w:pPr>
        <w:pStyle w:val="MDPI31text"/>
      </w:pPr>
      <w:r w:rsidRPr="00F51A4C">
        <w:t>Thus, with the previous charge data acquisition aided for CV technique, the resultant charge data influence, at each electrolyte, with different scan rates (</w:t>
      </w:r>
      <w:r w:rsidRPr="00F51A4C">
        <w:rPr>
          <w:rFonts w:ascii="Symbol" w:hAnsi="Symbol"/>
        </w:rPr>
        <w:t>n</w:t>
      </w:r>
      <w:r w:rsidRPr="00F51A4C">
        <w:t>), guided by SC values would be estimated by the Equation 1.:</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4E01F564" w14:textId="77777777" w:rsidTr="008025C7">
        <w:tc>
          <w:tcPr>
            <w:tcW w:w="350" w:type="pct"/>
            <w:vAlign w:val="center"/>
          </w:tcPr>
          <w:p w14:paraId="556B29FE" w14:textId="77777777" w:rsidR="0029111A" w:rsidRPr="00F51A4C" w:rsidRDefault="0029111A" w:rsidP="00CF77B4">
            <w:pPr>
              <w:pStyle w:val="MDPI31text"/>
            </w:pPr>
          </w:p>
        </w:tc>
        <w:tc>
          <w:tcPr>
            <w:tcW w:w="4050" w:type="pct"/>
            <w:vAlign w:val="center"/>
          </w:tcPr>
          <w:p w14:paraId="0B36CDEB" w14:textId="77777777" w:rsidR="0029111A" w:rsidRPr="00F51A4C"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m:rPr>
                        <m:sty m:val="p"/>
                      </m:rPr>
                      <w:rPr>
                        <w:rFonts w:ascii="Cambria Math" w:eastAsia="Cambria Math" w:hAnsi="Cambria Math"/>
                      </w:rPr>
                      <m:t>∆</m:t>
                    </m:r>
                    <m:r>
                      <w:rPr>
                        <w:rFonts w:ascii="Cambria Math" w:eastAsia="Cambria Math" w:hAnsi="Cambria Math"/>
                      </w:rPr>
                      <m:t>Q</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50865F47" w14:textId="77777777" w:rsidR="0029111A" w:rsidRPr="00F51A4C" w:rsidRDefault="0029111A" w:rsidP="00EC049B">
            <w:pPr>
              <w:pStyle w:val="MDPI39equation"/>
            </w:pPr>
            <w:r w:rsidRPr="00F51A4C">
              <w:t>(1.)</w:t>
            </w:r>
          </w:p>
        </w:tc>
      </w:tr>
    </w:tbl>
    <w:p w14:paraId="3C2FEBEC" w14:textId="77777777" w:rsidR="0029111A" w:rsidRPr="00F51A4C" w:rsidRDefault="0029111A" w:rsidP="00CF77B4">
      <w:pPr>
        <w:pStyle w:val="MDPI31text"/>
      </w:pPr>
      <w:r w:rsidRPr="00F51A4C">
        <w:t xml:space="preserve">where </w:t>
      </w:r>
      <w:r w:rsidRPr="00F51A4C">
        <w:rPr>
          <w:i/>
          <w:iCs/>
        </w:rPr>
        <w:t>SC</w:t>
      </w:r>
      <w:r w:rsidRPr="00F51A4C">
        <w:t xml:space="preserve"> is expressed in (F g</w:t>
      </w:r>
      <w:r w:rsidRPr="00F51A4C">
        <w:rPr>
          <w:rFonts w:ascii="Symbol" w:hAnsi="Symbol"/>
          <w:vertAlign w:val="superscript"/>
        </w:rPr>
        <w:t>-</w:t>
      </w:r>
      <w:r w:rsidRPr="00F51A4C">
        <w:rPr>
          <w:vertAlign w:val="superscript"/>
        </w:rPr>
        <w:t>1</w:t>
      </w:r>
      <w:r w:rsidRPr="00F51A4C">
        <w:t>); Δ</w:t>
      </w:r>
      <w:r w:rsidRPr="00F51A4C">
        <w:rPr>
          <w:i/>
          <w:iCs/>
        </w:rPr>
        <w:t xml:space="preserve">Q </w:t>
      </w:r>
      <w:r w:rsidRPr="00F51A4C">
        <w:t>is</w:t>
      </w:r>
      <w:r w:rsidRPr="00F51A4C">
        <w:rPr>
          <w:i/>
          <w:iCs/>
        </w:rPr>
        <w:t xml:space="preserve"> </w:t>
      </w:r>
      <w:r w:rsidRPr="00F51A4C">
        <w:t>the charge variation in terms of C s</w:t>
      </w:r>
      <w:r w:rsidRPr="00F51A4C">
        <w:rPr>
          <w:rFonts w:ascii="Symbol" w:hAnsi="Symbol"/>
          <w:vertAlign w:val="superscript"/>
        </w:rPr>
        <w:t>-</w:t>
      </w:r>
      <w:r w:rsidRPr="00F51A4C">
        <w:rPr>
          <w:vertAlign w:val="superscript"/>
        </w:rPr>
        <w:t>1</w:t>
      </w:r>
      <w:r w:rsidRPr="00F51A4C">
        <w:t xml:space="preserve">; </w:t>
      </w:r>
      <w:r w:rsidRPr="00F51A4C">
        <w:rPr>
          <w:i/>
          <w:iCs/>
        </w:rPr>
        <w:t>m</w:t>
      </w:r>
      <w:r w:rsidRPr="00F51A4C">
        <w:t xml:space="preserve"> is the electrode mass, which w</w:t>
      </w:r>
      <w:r>
        <w:t>as</w:t>
      </w:r>
      <w:r w:rsidRPr="00F51A4C">
        <w:t xml:space="preserve"> estimated </w:t>
      </w:r>
      <w:r>
        <w:t xml:space="preserve">at </w:t>
      </w:r>
      <w:r w:rsidRPr="00F51A4C">
        <w:t>around 0.134 mg for the chosen formulation; and Δ</w:t>
      </w:r>
      <w:r w:rsidRPr="00F51A4C">
        <w:rPr>
          <w:i/>
          <w:iCs/>
        </w:rPr>
        <w:t xml:space="preserve">V </w:t>
      </w:r>
      <w:r w:rsidRPr="00F51A4C">
        <w:t xml:space="preserve">is the working potential used, represented in V. Therefore, the resultant SC values vs different </w:t>
      </w:r>
      <w:r w:rsidRPr="00F51A4C">
        <w:rPr>
          <w:rFonts w:ascii="Symbol" w:hAnsi="Symbol"/>
        </w:rPr>
        <w:t>n</w:t>
      </w:r>
      <w:r w:rsidRPr="00F51A4C">
        <w:t xml:space="preserve"> (mV s</w:t>
      </w:r>
      <w:r w:rsidRPr="00F51A4C">
        <w:rPr>
          <w:rFonts w:ascii="Symbol" w:hAnsi="Symbol"/>
          <w:vertAlign w:val="superscript"/>
        </w:rPr>
        <w:t>-</w:t>
      </w:r>
      <w:r w:rsidRPr="00F51A4C">
        <w:rPr>
          <w:vertAlign w:val="superscript"/>
        </w:rPr>
        <w:t>1</w:t>
      </w:r>
      <w:r w:rsidRPr="00F51A4C">
        <w:t>) is shown in Figure 2D, for each electrolyte. The resultant dispersion, in general, presented a capacitance decrease with the increas</w:t>
      </w:r>
      <w:r>
        <w:t>e</w:t>
      </w:r>
      <w:r w:rsidRPr="00F51A4C">
        <w:t xml:space="preserve"> of </w:t>
      </w:r>
      <w:r w:rsidRPr="00F51A4C">
        <w:rPr>
          <w:rFonts w:ascii="Symbol" w:hAnsi="Symbol"/>
        </w:rPr>
        <w:t>n</w:t>
      </w:r>
      <w:r w:rsidRPr="00F51A4C">
        <w:t>. This was expected behavior, especially because of the velocity of surface formation processes, including surface resistance, double</w:t>
      </w:r>
      <w:r>
        <w:t>-</w:t>
      </w:r>
      <w:r w:rsidRPr="00F51A4C">
        <w:t>layer thickness</w:t>
      </w:r>
      <w:r>
        <w:t>,</w:t>
      </w:r>
      <w:r w:rsidRPr="00F51A4C">
        <w:t xml:space="preserve"> and charge diffusion as well, </w:t>
      </w:r>
      <w:r>
        <w:t>which</w:t>
      </w:r>
      <w:r w:rsidRPr="00F51A4C">
        <w:t xml:space="preserve"> are all processes in progress during data collection. It is important to highlight, however, that the CB/CA electrode demonstrated a more stable SC vs </w:t>
      </w:r>
      <w:r w:rsidRPr="00F51A4C">
        <w:rPr>
          <w:rFonts w:ascii="Symbol" w:hAnsi="Symbol"/>
        </w:rPr>
        <w:t>n</w:t>
      </w:r>
      <w:r w:rsidRPr="00F51A4C">
        <w:t xml:space="preserve"> curve in the acidic electrolyte, with </w:t>
      </w:r>
      <w:r w:rsidRPr="00F51A4C">
        <w:lastRenderedPageBreak/>
        <w:t>a decrease of only 75%, when compared to the other media (93% for KOH and 87% for Na</w:t>
      </w:r>
      <w:r w:rsidRPr="00F51A4C">
        <w:rPr>
          <w:vertAlign w:val="subscript"/>
        </w:rPr>
        <w:t>2</w:t>
      </w:r>
      <w:r w:rsidRPr="00F51A4C">
        <w:t>SO</w:t>
      </w:r>
      <w:r w:rsidRPr="00F51A4C">
        <w:rPr>
          <w:vertAlign w:val="subscript"/>
        </w:rPr>
        <w:t>4</w:t>
      </w:r>
      <w:r w:rsidRPr="00F51A4C">
        <w:t>).</w:t>
      </w:r>
    </w:p>
    <w:p w14:paraId="157A9A79" w14:textId="77777777" w:rsidR="0029111A" w:rsidRPr="00F51A4C" w:rsidRDefault="0029111A" w:rsidP="00CF77B4">
      <w:pPr>
        <w:pStyle w:val="MDPI31text"/>
      </w:pPr>
      <w:r w:rsidRPr="00F51A4C">
        <w:t xml:space="preserve">EIS technique configures a very important tool for mapping processes </w:t>
      </w:r>
      <w:r>
        <w:t>in the</w:t>
      </w:r>
      <w:r w:rsidRPr="00F51A4C">
        <w:t xml:space="preserve"> electrode interface, which may include redox reactions, adsorption</w:t>
      </w:r>
      <w:r>
        <w:t>,</w:t>
      </w:r>
      <w:r w:rsidRPr="00F51A4C">
        <w:t xml:space="preserve"> and forced mass transfer processes. It </w:t>
      </w:r>
      <w:r>
        <w:t>responds with</w:t>
      </w:r>
      <w:r w:rsidRPr="00F51A4C">
        <w:t xml:space="preserve"> </w:t>
      </w:r>
      <w:r>
        <w:t xml:space="preserve">the </w:t>
      </w:r>
      <w:r w:rsidRPr="00F51A4C">
        <w:t>function of the relation between frequency and a given potential, in contrast with the most used electroanalytical methods. This technique is useful to electrochemical devices, especially energy storage systems, like batteries, capacitors</w:t>
      </w:r>
      <w:r>
        <w:t>,</w:t>
      </w:r>
      <w:r w:rsidRPr="00F51A4C">
        <w:t xml:space="preserve"> and supercapacitors, especially as they need more comprehensive information about resistivity and charge transfer of electrodes materials.</w:t>
      </w:r>
    </w:p>
    <w:p w14:paraId="1B84D05A" w14:textId="2E913980" w:rsidR="0029111A" w:rsidRPr="00F51A4C" w:rsidRDefault="0029111A" w:rsidP="00CF77B4">
      <w:pPr>
        <w:pStyle w:val="MDPI31text"/>
      </w:pPr>
      <w:r w:rsidRPr="00F51A4C">
        <w:t>In this study (Figure 3A), it was observed that the acidic profile presents a low</w:t>
      </w:r>
      <w:r>
        <w:t>-</w:t>
      </w:r>
      <w:r w:rsidRPr="00F51A4C">
        <w:t xml:space="preserve">frequency region almost in parallel to the imaginary axis, which characterizes an ideal capacitive behavior due to minimal material resistance effects being observed in lower frequencies. This could imply that the double-layer ion transport has ceased, achieving equilibrium, and only dielectric behavior is being observed </w:t>
      </w:r>
      <w:r w:rsidRPr="00F51A4C">
        <w:fldChar w:fldCharType="begin"/>
      </w:r>
      <w:r w:rsidR="00CE50FD">
        <w:instrText xml:space="preserve"> ADDIN EN.CITE &lt;EndNote&gt;&lt;Cite&gt;&lt;Author&gt;Orazem&lt;/Author&gt;&lt;Year&gt;2008&lt;/Year&gt;&lt;RecNum&gt;655&lt;/RecNum&gt;&lt;DisplayText&gt;[43, 44]&lt;/DisplayText&gt;&lt;record&gt;&lt;rec-number&gt;655&lt;/rec-number&gt;&lt;foreign-keys&gt;&lt;key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sidRPr="00F51A4C">
        <w:fldChar w:fldCharType="separate"/>
      </w:r>
      <w:r w:rsidR="00CE50FD">
        <w:rPr>
          <w:noProof/>
        </w:rPr>
        <w:t>[43, 44]</w:t>
      </w:r>
      <w:r w:rsidRPr="00F51A4C">
        <w:fldChar w:fldCharType="end"/>
      </w:r>
      <w:r w:rsidRPr="00F51A4C">
        <w:t xml:space="preserve">. This behavior is described by a [R(RQ)C] equivalent circuit. For </w:t>
      </w:r>
      <w:r>
        <w:t xml:space="preserve">the </w:t>
      </w:r>
      <w:r w:rsidRPr="00F51A4C">
        <w:t xml:space="preserve">KOH medium, the electrode shows a profile containing deviations from ideal capacitor behavior, especially by the formation of two semicircles, probably caused by proper material hybrid capacitive/resistive behavior, better described with the [R(RQ)([RW]C)] equivalent circuit. The first semi-circle is, potentially, due to the device geometry </w:t>
      </w:r>
      <w:r w:rsidRPr="00F51A4C">
        <w:fldChar w:fldCharType="begin"/>
      </w:r>
      <w:r w:rsidR="00CE50FD">
        <w:instrText xml:space="preserve"> ADDIN EN.CITE &lt;EndNote&gt;&lt;Cite&gt;&lt;Author&gt;Orazem&lt;/Author&gt;&lt;Year&gt;2008&lt;/Year&gt;&lt;RecNum&gt;655&lt;/RecNum&gt;&lt;DisplayText&gt;[43]&lt;/DisplayText&gt;&lt;record&gt;&lt;rec-number&gt;655&lt;/rec-number&gt;&lt;foreign-keys&gt;&lt;key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Pr="00F51A4C">
        <w:fldChar w:fldCharType="separate"/>
      </w:r>
      <w:r w:rsidR="00CE50FD">
        <w:rPr>
          <w:noProof/>
        </w:rPr>
        <w:t>[43]</w:t>
      </w:r>
      <w:r w:rsidRPr="00F51A4C">
        <w:fldChar w:fldCharType="end"/>
      </w:r>
      <w:r w:rsidRPr="00F51A4C">
        <w:t xml:space="preserve">, while the second could be originated from the surface redox reactions, as presented in Figure 2B. The literature proposes a few explanations </w:t>
      </w:r>
      <w:r>
        <w:t>for</w:t>
      </w:r>
      <w:r w:rsidRPr="00F51A4C">
        <w:t xml:space="preserve"> such reactions: The device could be functionalized by the basic electrolyte, adsorbing hydroxyl ions </w:t>
      </w:r>
      <w:r w:rsidRPr="00F51A4C">
        <w:fldChar w:fldCharType="begin"/>
      </w:r>
      <w:r w:rsidR="00CE50FD">
        <w:instrText xml:space="preserve"> ADDIN EN.CITE &lt;EndNote&gt;&lt;Cite&gt;&lt;Author&gt;Nasibi&lt;/Author&gt;&lt;Year&gt;2012&lt;/Year&gt;&lt;RecNum&gt;651&lt;/RecNum&gt;&lt;DisplayText&gt;[45]&lt;/DisplayText&gt;&lt;record&gt;&lt;rec-number&gt;651&lt;/rec-number&gt;&lt;foreign-keys&gt;&lt;key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F51A4C">
        <w:fldChar w:fldCharType="separate"/>
      </w:r>
      <w:r w:rsidR="00CE50FD">
        <w:rPr>
          <w:noProof/>
        </w:rPr>
        <w:t>[45]</w:t>
      </w:r>
      <w:r w:rsidRPr="00F51A4C">
        <w:fldChar w:fldCharType="end"/>
      </w:r>
      <w:r>
        <w:t>,</w:t>
      </w:r>
      <w:r w:rsidRPr="00F51A4C">
        <w:t xml:space="preserve"> or </w:t>
      </w:r>
      <w:r>
        <w:t>promotes</w:t>
      </w:r>
      <w:r w:rsidRPr="00F51A4C">
        <w:t xml:space="preserve"> rise to </w:t>
      </w:r>
      <w:proofErr w:type="spellStart"/>
      <w:r w:rsidRPr="00F51A4C">
        <w:t>pseudocapacitance</w:t>
      </w:r>
      <w:proofErr w:type="spellEnd"/>
      <w:r w:rsidRPr="00F51A4C">
        <w:t xml:space="preserve"> by oxygen involved redox processes </w:t>
      </w:r>
      <w:r w:rsidRPr="00F51A4C">
        <w:fldChar w:fldCharType="begin"/>
      </w:r>
      <w:r w:rsidR="00CE50FD">
        <w:instrText xml:space="preserve"> ADDIN EN.CITE &lt;EndNote&gt;&lt;Cite&gt;&lt;Author&gt;Bobacka&lt;/Author&gt;&lt;Year&gt;2000&lt;/Year&gt;&lt;RecNum&gt;652&lt;/RecNum&gt;&lt;DisplayText&gt;[46]&lt;/DisplayText&gt;&lt;record&gt;&lt;rec-number&gt;652&lt;/rec-number&gt;&lt;foreign-keys&gt;&lt;key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F51A4C">
        <w:fldChar w:fldCharType="separate"/>
      </w:r>
      <w:r w:rsidR="00CE50FD">
        <w:rPr>
          <w:noProof/>
        </w:rPr>
        <w:t>[46]</w:t>
      </w:r>
      <w:r w:rsidRPr="00F51A4C">
        <w:fldChar w:fldCharType="end"/>
      </w:r>
      <w:r w:rsidRPr="00F51A4C">
        <w:t>.</w:t>
      </w:r>
    </w:p>
    <w:p w14:paraId="5139CF9B" w14:textId="77777777" w:rsidR="0029111A" w:rsidRPr="00F51A4C" w:rsidRDefault="0029111A" w:rsidP="00CF77B4">
      <w:pPr>
        <w:pStyle w:val="MDPI31text"/>
      </w:pPr>
      <w:r w:rsidRPr="00F51A4C">
        <w:t xml:space="preserve">Each system was then evaluated for its behavior against the OCP values used in EIS, and the profiles are presented in Figure 3B. As can be noted, both presented characteristic voltammograms with </w:t>
      </w:r>
      <w:r>
        <w:t xml:space="preserve">the </w:t>
      </w:r>
      <w:r w:rsidRPr="00F51A4C">
        <w:t>only capacitive current generation. It could also be highlighted that the acidic system is consider</w:t>
      </w:r>
      <w:r>
        <w:t>ed</w:t>
      </w:r>
      <w:r w:rsidRPr="00F51A4C">
        <w:t xml:space="preserve"> </w:t>
      </w:r>
      <w:r>
        <w:t xml:space="preserve">a </w:t>
      </w:r>
      <w:r w:rsidRPr="00F51A4C">
        <w:t xml:space="preserve">more rectangular shape than the basic one, implying a higher energy storage capability. By increasing the number of cycles in CV to 100, the capacitance retention of each system was evaluated against previously obtained data (100%). In alkaline solution (Figure 3C), the device rapidly presented an increase of capacitive current, equivalent to 130%, but quickly dropped to around 65%. The device then linearly increased the retention to 74% after all scans. This behavior implies a non-stable surface. In acidic solutions (Figure 3D), the retentions started at around 80%, increasing to 84% after all cycles, suggesting higher stability. This data also corroborates the use </w:t>
      </w:r>
      <w:proofErr w:type="spellStart"/>
      <w:r w:rsidRPr="00F51A4C">
        <w:t>o</w:t>
      </w:r>
      <w:proofErr w:type="spellEnd"/>
      <w:r w:rsidRPr="00F51A4C">
        <w:t xml:space="preserve"> acidic electrolytes to proper</w:t>
      </w:r>
      <w:r>
        <w:t>ly</w:t>
      </w:r>
      <w:r w:rsidRPr="00F51A4C">
        <w:t xml:space="preserve"> employ the proposed device as </w:t>
      </w:r>
      <w:r>
        <w:t xml:space="preserve">a </w:t>
      </w:r>
      <w:r w:rsidRPr="00F51A4C">
        <w:t>supercapacitor.</w:t>
      </w:r>
    </w:p>
    <w:p w14:paraId="31DE4F04" w14:textId="77777777" w:rsidR="0029111A" w:rsidRPr="00F51A4C" w:rsidRDefault="0029111A" w:rsidP="005A2215">
      <w:pPr>
        <w:ind w:left="2268"/>
        <w:rPr>
          <w:rFonts w:ascii="Times New Roman" w:hAnsi="Times New Roman"/>
          <w:b/>
          <w:bCs/>
        </w:rPr>
      </w:pPr>
      <w:r w:rsidRPr="00F51A4C">
        <w:rPr>
          <w:rFonts w:ascii="Times New Roman" w:hAnsi="Times New Roman"/>
          <w:b/>
          <w:bCs/>
        </w:rPr>
        <w:lastRenderedPageBreak/>
        <w:drawing>
          <wp:inline distT="0" distB="0" distL="0" distR="0" wp14:anchorId="70BB1A7B" wp14:editId="54F3DD5D">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388A20E6" w14:textId="77777777" w:rsidR="0029111A" w:rsidRPr="00F51A4C" w:rsidRDefault="0029111A" w:rsidP="00CF77B4">
      <w:pPr>
        <w:pStyle w:val="MDPI51figurecaption"/>
        <w:rPr>
          <w:color w:val="FF0000"/>
        </w:rPr>
      </w:pPr>
      <w:r w:rsidRPr="00F51A4C">
        <w:rPr>
          <w:b/>
          <w:bCs/>
        </w:rPr>
        <w:t>Figure 3.</w:t>
      </w:r>
      <w:r w:rsidRPr="00F51A4C">
        <w:t xml:space="preserve"> </w:t>
      </w:r>
      <w:r w:rsidRPr="00F51A4C">
        <w:rPr>
          <w:b/>
          <w:bCs/>
        </w:rPr>
        <w:t>(A)</w:t>
      </w:r>
      <w:r w:rsidRPr="00F51A4C">
        <w:t xml:space="preserve"> Nyquist diagrams for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rPr>
        <w:t>■</w:t>
      </w:r>
      <w:r w:rsidRPr="00F51A4C">
        <w:t>) and KOH (</w:t>
      </w:r>
      <w:r w:rsidRPr="00F51A4C">
        <w:rPr>
          <w:color w:val="FF0000"/>
        </w:rPr>
        <w:t>●</w:t>
      </w:r>
      <w:r w:rsidRPr="00F51A4C">
        <w:t xml:space="preserve">). </w:t>
      </w:r>
      <w:r w:rsidRPr="00F51A4C">
        <w:rPr>
          <w:b/>
          <w:bCs/>
        </w:rPr>
        <w:t>(B)</w:t>
      </w:r>
      <w:r w:rsidRPr="00F51A4C">
        <w:t xml:space="preserve"> Cyclic voltammograms obtained in OCP by 66.7/33.3% CB/CA electrode, in equimolar 1.0 mol L</w:t>
      </w:r>
      <w:r w:rsidRPr="00F51A4C">
        <w:rPr>
          <w:rFonts w:ascii="Symbol" w:hAnsi="Symbol"/>
          <w:vertAlign w:val="superscript"/>
        </w:rPr>
        <w:t>-</w:t>
      </w:r>
      <w:r w:rsidRPr="00F51A4C">
        <w:rPr>
          <w:vertAlign w:val="superscript"/>
        </w:rPr>
        <w:t xml:space="preserve">1 </w:t>
      </w:r>
      <w:r w:rsidRPr="00F51A4C">
        <w:t>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b/>
          <w:bCs/>
        </w:rPr>
        <w:t>▬</w:t>
      </w:r>
      <w:r w:rsidRPr="00F51A4C">
        <w:t>) and KOH (</w:t>
      </w:r>
      <w:r w:rsidRPr="00F51A4C">
        <w:rPr>
          <w:rFonts w:ascii="Times New Roman" w:hAnsi="Times New Roman"/>
          <w:b/>
          <w:bCs/>
          <w:color w:val="0070C0"/>
        </w:rPr>
        <w:t>▬</w:t>
      </w:r>
      <w:r w:rsidRPr="00F51A4C">
        <w:t xml:space="preserve">); </w:t>
      </w:r>
      <w:r w:rsidRPr="00F51A4C">
        <w:rPr>
          <w:rFonts w:ascii="Symbol" w:hAnsi="Symbol"/>
        </w:rPr>
        <w:t>n</w:t>
      </w:r>
      <w:r w:rsidRPr="00F51A4C">
        <w:t xml:space="preserve"> = 10 mV s</w:t>
      </w:r>
      <w:r w:rsidRPr="00F51A4C">
        <w:rPr>
          <w:rFonts w:ascii="Symbol" w:hAnsi="Symbol"/>
          <w:vertAlign w:val="superscript"/>
        </w:rPr>
        <w:t>-</w:t>
      </w:r>
      <w:r w:rsidRPr="00F51A4C">
        <w:rPr>
          <w:vertAlign w:val="superscript"/>
        </w:rPr>
        <w:t>1</w:t>
      </w:r>
      <w:r w:rsidRPr="00F51A4C">
        <w:t xml:space="preserve">. Capacitance retention dispersion plots of 100 cycles in </w:t>
      </w:r>
      <w:r w:rsidRPr="00F51A4C">
        <w:rPr>
          <w:b/>
          <w:bCs/>
        </w:rPr>
        <w:t xml:space="preserve">(C) </w:t>
      </w:r>
      <w:r w:rsidRPr="00F51A4C">
        <w:t>1.0 mol L</w:t>
      </w:r>
      <w:r w:rsidRPr="00F51A4C">
        <w:rPr>
          <w:rFonts w:ascii="Symbol" w:hAnsi="Symbol"/>
          <w:vertAlign w:val="superscript"/>
        </w:rPr>
        <w:t>-</w:t>
      </w:r>
      <w:r w:rsidRPr="00F51A4C">
        <w:rPr>
          <w:vertAlign w:val="superscript"/>
        </w:rPr>
        <w:t xml:space="preserve">1 </w:t>
      </w:r>
      <w:r w:rsidRPr="00F51A4C">
        <w:t xml:space="preserve">KOH and </w:t>
      </w:r>
      <w:r w:rsidRPr="00F51A4C">
        <w:rPr>
          <w:b/>
          <w:bCs/>
        </w:rPr>
        <w:t>(D)</w:t>
      </w:r>
      <w:r w:rsidRPr="00F51A4C">
        <w:t xml:space="preserve">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w:t>
      </w:r>
    </w:p>
    <w:p w14:paraId="261CE63B" w14:textId="634B0E19" w:rsidR="0029111A" w:rsidRPr="00F51A4C" w:rsidRDefault="0029111A" w:rsidP="00CF77B4">
      <w:pPr>
        <w:pStyle w:val="MDPI31text"/>
      </w:pPr>
      <w:r w:rsidRPr="00CB5232">
        <w:rPr>
          <w:highlight w:val="yellow"/>
        </w:rPr>
        <w:t>Morphological characterizations were required to better understand the proposed material and confirm its electrochemical behavior. Therefore, SEM was carried out for the optimal 66.7/33.3% (w/w) CB/CA ink</w:t>
      </w:r>
      <w:r w:rsidR="00957EE6" w:rsidRPr="00CB5232">
        <w:rPr>
          <w:highlight w:val="yellow"/>
        </w:rPr>
        <w:t xml:space="preserve"> without CB (Figure 4A-C), without CA (Figure 4D-F) and in its complete form (Figure 4G-I). In the images without CB (only CA) it is possible to observe </w:t>
      </w:r>
      <w:r w:rsidR="00B16292" w:rsidRPr="00CB5232">
        <w:rPr>
          <w:highlight w:val="yellow"/>
        </w:rPr>
        <w:t>a rough</w:t>
      </w:r>
      <w:r w:rsidR="00CE2354" w:rsidRPr="00CB5232">
        <w:rPr>
          <w:highlight w:val="yellow"/>
        </w:rPr>
        <w:t>ish</w:t>
      </w:r>
      <w:r w:rsidR="00B16292" w:rsidRPr="00CB5232">
        <w:rPr>
          <w:highlight w:val="yellow"/>
        </w:rPr>
        <w:t xml:space="preserve"> polymeric structure, with small intertwined </w:t>
      </w:r>
      <w:r w:rsidR="00CE2354" w:rsidRPr="00CB5232">
        <w:rPr>
          <w:highlight w:val="yellow"/>
        </w:rPr>
        <w:t>wing</w:t>
      </w:r>
      <w:r w:rsidR="00B16292" w:rsidRPr="00CB5232">
        <w:rPr>
          <w:highlight w:val="yellow"/>
        </w:rPr>
        <w:t>-like structures.</w:t>
      </w:r>
      <w:r w:rsidR="00CE2354" w:rsidRPr="00CB5232">
        <w:rPr>
          <w:highlight w:val="yellow"/>
        </w:rPr>
        <w:t xml:space="preserve"> For the ink without CA (only CB), purely carbonaceous structures can be observed, with high roughness and flake-like formation. Also, this sample presented high cracking rate, as can be observed in Figure 4D right side, probably due to the electrostatic interaction between CB agglomerates being destroyed as the solvents </w:t>
      </w:r>
      <w:r w:rsidR="00CB5232" w:rsidRPr="00CB5232">
        <w:rPr>
          <w:highlight w:val="yellow"/>
        </w:rPr>
        <w:t>are eliminated</w:t>
      </w:r>
      <w:r w:rsidR="00CE2354" w:rsidRPr="00CB5232">
        <w:rPr>
          <w:highlight w:val="yellow"/>
        </w:rPr>
        <w:t xml:space="preserve">. </w:t>
      </w:r>
      <w:r w:rsidR="00CB5232" w:rsidRPr="00CB5232">
        <w:rPr>
          <w:highlight w:val="yellow"/>
        </w:rPr>
        <w:t>I</w:t>
      </w:r>
      <w:r w:rsidR="00CE2354" w:rsidRPr="00CB5232">
        <w:rPr>
          <w:highlight w:val="yellow"/>
        </w:rPr>
        <w:t>n t</w:t>
      </w:r>
      <w:r w:rsidR="00CB5232" w:rsidRPr="00CB5232">
        <w:rPr>
          <w:highlight w:val="yellow"/>
        </w:rPr>
        <w:t>he last</w:t>
      </w:r>
      <w:r w:rsidR="00CE2354" w:rsidRPr="00CB5232">
        <w:rPr>
          <w:highlight w:val="yellow"/>
        </w:rPr>
        <w:t xml:space="preserve"> sample</w:t>
      </w:r>
      <w:r w:rsidR="00957EE6" w:rsidRPr="00CB5232">
        <w:rPr>
          <w:highlight w:val="yellow"/>
        </w:rPr>
        <w:t xml:space="preserve"> </w:t>
      </w:r>
      <w:r w:rsidR="00CB5232" w:rsidRPr="00CB5232">
        <w:rPr>
          <w:highlight w:val="yellow"/>
        </w:rPr>
        <w:t>i</w:t>
      </w:r>
      <w:r w:rsidRPr="00CB5232">
        <w:rPr>
          <w:highlight w:val="yellow"/>
        </w:rPr>
        <w:t xml:space="preserve">t is possible to observe the roughness of the whole surface, with pores distributed throughout the film structure, corroborating with the data discussed previously. Also, the carbonaceous structure </w:t>
      </w:r>
      <w:r w:rsidR="00CB5232" w:rsidRPr="00CB5232">
        <w:rPr>
          <w:highlight w:val="yellow"/>
        </w:rPr>
        <w:t xml:space="preserve">of CB </w:t>
      </w:r>
      <w:r w:rsidRPr="00CB5232">
        <w:rPr>
          <w:highlight w:val="yellow"/>
        </w:rPr>
        <w:t xml:space="preserve">is </w:t>
      </w:r>
      <w:r w:rsidR="00CB5232" w:rsidRPr="00CB5232">
        <w:rPr>
          <w:highlight w:val="yellow"/>
        </w:rPr>
        <w:t xml:space="preserve">still </w:t>
      </w:r>
      <w:r w:rsidRPr="00CB5232">
        <w:rPr>
          <w:highlight w:val="yellow"/>
        </w:rPr>
        <w:t>observed</w:t>
      </w:r>
      <w:r w:rsidR="00CB5232" w:rsidRPr="00CB5232">
        <w:rPr>
          <w:highlight w:val="yellow"/>
        </w:rPr>
        <w:t>, and without cracks</w:t>
      </w:r>
      <w:r w:rsidRPr="00CB5232">
        <w:rPr>
          <w:highlight w:val="yellow"/>
        </w:rPr>
        <w:t>, proving a homogeneous distribution of CB</w:t>
      </w:r>
      <w:r w:rsidR="00CB5232" w:rsidRPr="00CB5232">
        <w:rPr>
          <w:highlight w:val="yellow"/>
        </w:rPr>
        <w:t xml:space="preserve"> in CA</w:t>
      </w:r>
      <w:r w:rsidRPr="00CB5232">
        <w:rPr>
          <w:highlight w:val="yellow"/>
        </w:rPr>
        <w:t>. This active distribution of amorphous carbon can be associated with the overall material conductivity.</w:t>
      </w:r>
    </w:p>
    <w:p w14:paraId="3DB934A2" w14:textId="662947F6" w:rsidR="0029111A" w:rsidRPr="00F51A4C" w:rsidRDefault="00957EE6" w:rsidP="00957EE6">
      <w:pPr>
        <w:rPr>
          <w:rFonts w:ascii="Times New Roman" w:hAnsi="Times New Roman"/>
          <w:i/>
          <w:iCs/>
          <w:sz w:val="24"/>
          <w:szCs w:val="24"/>
        </w:rPr>
      </w:pPr>
      <w:r>
        <w:rPr>
          <w:rFonts w:ascii="Arial" w:hAnsi="Arial" w:cs="Arial"/>
          <w:b/>
          <w:bCs/>
          <w:bdr w:val="none" w:sz="0" w:space="0" w:color="auto" w:frame="1"/>
        </w:rPr>
        <w:lastRenderedPageBreak/>
        <w:drawing>
          <wp:inline distT="0" distB="0" distL="0" distR="0" wp14:anchorId="6FFE4C58" wp14:editId="0DA3F637">
            <wp:extent cx="6644640" cy="4709160"/>
            <wp:effectExtent l="0" t="0" r="381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4640" cy="4709160"/>
                    </a:xfrm>
                    <a:prstGeom prst="rect">
                      <a:avLst/>
                    </a:prstGeom>
                    <a:noFill/>
                    <a:ln>
                      <a:noFill/>
                    </a:ln>
                  </pic:spPr>
                </pic:pic>
              </a:graphicData>
            </a:graphic>
          </wp:inline>
        </w:drawing>
      </w:r>
    </w:p>
    <w:p w14:paraId="05250478" w14:textId="2AE01B86" w:rsidR="0029111A" w:rsidRPr="00F51A4C" w:rsidRDefault="0029111A" w:rsidP="00CF77B4">
      <w:pPr>
        <w:pStyle w:val="MDPI51figurecaption"/>
      </w:pPr>
      <w:bookmarkStart w:id="2" w:name="_Hlk86688850"/>
      <w:r w:rsidRPr="00F51A4C">
        <w:rPr>
          <w:b/>
          <w:bCs/>
        </w:rPr>
        <w:t xml:space="preserve">Figure </w:t>
      </w:r>
      <w:bookmarkEnd w:id="2"/>
      <w:r w:rsidRPr="00CB5232">
        <w:rPr>
          <w:b/>
          <w:bCs/>
          <w:color w:val="auto"/>
        </w:rPr>
        <w:t>4</w:t>
      </w:r>
      <w:r w:rsidRPr="00CB5232">
        <w:rPr>
          <w:color w:val="auto"/>
        </w:rPr>
        <w:t>.</w:t>
      </w:r>
      <w:r w:rsidR="00957EE6" w:rsidRPr="00CB5232">
        <w:rPr>
          <w:b/>
          <w:bCs/>
          <w:color w:val="auto"/>
        </w:rPr>
        <w:t xml:space="preserve"> </w:t>
      </w:r>
      <w:r w:rsidRPr="00CB5232">
        <w:rPr>
          <w:color w:val="auto"/>
          <w:highlight w:val="yellow"/>
        </w:rPr>
        <w:t xml:space="preserve">SEM images of the 66.67% CB/CA ink </w:t>
      </w:r>
      <w:r w:rsidR="00CB5232" w:rsidRPr="00CB5232">
        <w:rPr>
          <w:color w:val="auto"/>
          <w:highlight w:val="yellow"/>
        </w:rPr>
        <w:t xml:space="preserve">without CB (A-C), without CA (D-F) and the complete ink (G-I) </w:t>
      </w:r>
      <w:r w:rsidRPr="00CB5232">
        <w:rPr>
          <w:color w:val="auto"/>
          <w:highlight w:val="yellow"/>
        </w:rPr>
        <w:t>at (A</w:t>
      </w:r>
      <w:r w:rsidR="00CB5232" w:rsidRPr="00CB5232">
        <w:rPr>
          <w:color w:val="auto"/>
          <w:highlight w:val="yellow"/>
        </w:rPr>
        <w:t>, D and G</w:t>
      </w:r>
      <w:r w:rsidRPr="00CB5232">
        <w:rPr>
          <w:color w:val="auto"/>
          <w:highlight w:val="yellow"/>
        </w:rPr>
        <w:t>) 500×</w:t>
      </w:r>
      <w:r w:rsidR="00CB5232" w:rsidRPr="00CB5232">
        <w:rPr>
          <w:color w:val="auto"/>
          <w:highlight w:val="yellow"/>
        </w:rPr>
        <w:t>,</w:t>
      </w:r>
      <w:r w:rsidRPr="00CB5232">
        <w:rPr>
          <w:color w:val="auto"/>
          <w:highlight w:val="yellow"/>
        </w:rPr>
        <w:t xml:space="preserve"> (B</w:t>
      </w:r>
      <w:r w:rsidR="00CB5232" w:rsidRPr="00CB5232">
        <w:rPr>
          <w:color w:val="auto"/>
          <w:highlight w:val="yellow"/>
        </w:rPr>
        <w:t>, E and H</w:t>
      </w:r>
      <w:r w:rsidRPr="00CB5232">
        <w:rPr>
          <w:color w:val="auto"/>
          <w:highlight w:val="yellow"/>
        </w:rPr>
        <w:t>) 1000×</w:t>
      </w:r>
      <w:r w:rsidR="00CB5232" w:rsidRPr="00CB5232">
        <w:rPr>
          <w:color w:val="auto"/>
          <w:highlight w:val="yellow"/>
        </w:rPr>
        <w:t>, and (C, F and I)</w:t>
      </w:r>
      <w:r w:rsidRPr="00CB5232">
        <w:rPr>
          <w:color w:val="auto"/>
          <w:highlight w:val="yellow"/>
        </w:rPr>
        <w:t xml:space="preserve"> </w:t>
      </w:r>
      <w:r w:rsidR="00CB5232" w:rsidRPr="00CB5232">
        <w:rPr>
          <w:color w:val="auto"/>
          <w:highlight w:val="yellow"/>
        </w:rPr>
        <w:t>2</w:t>
      </w:r>
      <w:r w:rsidR="00CB5232" w:rsidRPr="00CB5232">
        <w:rPr>
          <w:color w:val="auto"/>
          <w:highlight w:val="yellow"/>
        </w:rPr>
        <w:t>000×</w:t>
      </w:r>
      <w:r w:rsidR="00CB5232" w:rsidRPr="00CB5232">
        <w:rPr>
          <w:color w:val="auto"/>
          <w:highlight w:val="yellow"/>
        </w:rPr>
        <w:t xml:space="preserve"> </w:t>
      </w:r>
      <w:r w:rsidRPr="00CB5232">
        <w:rPr>
          <w:color w:val="auto"/>
          <w:highlight w:val="yellow"/>
        </w:rPr>
        <w:t>magnification</w:t>
      </w:r>
    </w:p>
    <w:p w14:paraId="78292C5C" w14:textId="77777777" w:rsidR="0029111A" w:rsidRPr="00F51A4C" w:rsidRDefault="0029111A" w:rsidP="00CF77B4">
      <w:pPr>
        <w:pStyle w:val="MDPI22heading2"/>
      </w:pPr>
      <w:r w:rsidRPr="00F51A4C">
        <w:t>3.2 Potentiostatic Charge/Discharge evaluation</w:t>
      </w:r>
    </w:p>
    <w:p w14:paraId="5E97AB2C" w14:textId="77777777" w:rsidR="0029111A" w:rsidRPr="00F51A4C" w:rsidRDefault="0029111A" w:rsidP="0029111A">
      <w:pPr>
        <w:pStyle w:val="MDPI31text"/>
      </w:pPr>
      <w:r w:rsidRPr="00F51A4C">
        <w:t xml:space="preserve">Charge and discharge tests were carried out by performing </w:t>
      </w:r>
      <w:r>
        <w:t xml:space="preserve">a </w:t>
      </w:r>
      <w:proofErr w:type="spellStart"/>
      <w:r w:rsidRPr="00F51A4C">
        <w:t>potentiostatic</w:t>
      </w:r>
      <w:proofErr w:type="spellEnd"/>
      <w:r w:rsidRPr="00F51A4C">
        <w:t xml:space="preserve"> charge/discharge technique (PCD). These tests are extremely important for a more complex analysis </w:t>
      </w:r>
      <w:r>
        <w:t>of</w:t>
      </w:r>
      <w:r w:rsidRPr="00F51A4C">
        <w:t xml:space="preserve"> the </w:t>
      </w:r>
      <w:r>
        <w:t>behavior of the device</w:t>
      </w:r>
      <w:r w:rsidRPr="00F51A4C">
        <w:t xml:space="preserve"> in an applied situation, by inserting the material under charging and discharging phenomenon, at distinct current density (CD) values, through time. Thus, it is expected to observe profiles with a triangular shape, that results from the device</w:t>
      </w:r>
      <w:r>
        <w:t>'s</w:t>
      </w:r>
      <w:r w:rsidRPr="00F51A4C">
        <w:t xml:space="preserve"> double</w:t>
      </w:r>
      <w:r>
        <w:t>-</w:t>
      </w:r>
      <w:r w:rsidRPr="00F51A4C">
        <w:t xml:space="preserve">layer charge/discharge response. This process depends on the charges movement rate through each material gram. As such, this behavior is principally affected by resistance and diffusion layer processes </w:t>
      </w:r>
      <w:r>
        <w:t>in</w:t>
      </w:r>
      <w:r w:rsidRPr="00F51A4C">
        <w:t xml:space="preserve"> </w:t>
      </w:r>
      <w:r>
        <w:t xml:space="preserve">the </w:t>
      </w:r>
      <w:r w:rsidRPr="00F51A4C">
        <w:t>electrolyte/electrode interface.</w:t>
      </w:r>
    </w:p>
    <w:p w14:paraId="7B8EAA98" w14:textId="77777777" w:rsidR="0029111A" w:rsidRPr="003912CE" w:rsidRDefault="0029111A" w:rsidP="0029111A">
      <w:pPr>
        <w:pStyle w:val="MDPI31text"/>
      </w:pPr>
      <w:r w:rsidRPr="00F51A4C">
        <w:tab/>
        <w:t xml:space="preserve">Therefore, the CD values were selected arbitrarily at </w:t>
      </w:r>
      <w:r>
        <w:t xml:space="preserve">the </w:t>
      </w:r>
      <w:r w:rsidRPr="00F51A4C">
        <w:t xml:space="preserve">PCD procedure and the chosen values were: </w:t>
      </w:r>
      <w:bookmarkStart w:id="3" w:name="_Hlk86849200"/>
      <w:r w:rsidRPr="00F51A4C">
        <w:t>0.5, 1.0, 2.0, 3.0</w:t>
      </w:r>
      <w:r>
        <w:t>,</w:t>
      </w:r>
      <w:r w:rsidRPr="00F51A4C">
        <w:t xml:space="preserve"> and 4.0 A g</w:t>
      </w:r>
      <w:r w:rsidRPr="00F51A4C">
        <w:rPr>
          <w:rFonts w:ascii="Symbol" w:hAnsi="Symbol"/>
          <w:vertAlign w:val="superscript"/>
        </w:rPr>
        <w:t>-</w:t>
      </w:r>
      <w:r w:rsidRPr="00F51A4C">
        <w:rPr>
          <w:vertAlign w:val="superscript"/>
        </w:rPr>
        <w:t>1</w:t>
      </w:r>
      <w:r w:rsidRPr="00F51A4C">
        <w:t xml:space="preserve">, </w:t>
      </w:r>
      <w:bookmarkEnd w:id="3"/>
      <w:r w:rsidRPr="00F51A4C">
        <w:t>and their resulting profiles for the CB ink are presented in Figure 5. In Figure 5A, the charge and discharge relationship at H</w:t>
      </w:r>
      <w:r w:rsidRPr="00F51A4C">
        <w:rPr>
          <w:vertAlign w:val="subscript"/>
        </w:rPr>
        <w:t>2</w:t>
      </w:r>
      <w:r w:rsidRPr="00F51A4C">
        <w:t>SO</w:t>
      </w:r>
      <w:r w:rsidRPr="00F51A4C">
        <w:rPr>
          <w:vertAlign w:val="subscript"/>
        </w:rPr>
        <w:t>4</w:t>
      </w:r>
      <w:r w:rsidRPr="00F51A4C">
        <w:t xml:space="preserve"> presented </w:t>
      </w:r>
      <w:r w:rsidRPr="003912CE">
        <w:t xml:space="preserve">the discussed triangular profile, as expected for a capacitor. Nonetheless, plot lines inclination suggested a smooth charges transition. This type of profile indicates a closer relation with supercapacitors behavior, which conventionally shows relatively high energy and power densities with smooth rate transitions. </w:t>
      </w:r>
    </w:p>
    <w:p w14:paraId="2B3393D6" w14:textId="70D8D5AC" w:rsidR="0029111A" w:rsidRPr="00F51A4C" w:rsidRDefault="0029111A" w:rsidP="0029111A">
      <w:pPr>
        <w:pStyle w:val="MDPI31text"/>
      </w:pPr>
      <w:r w:rsidRPr="003912CE">
        <w:t>Hereupon, profiles for Na</w:t>
      </w:r>
      <w:r w:rsidRPr="003912CE">
        <w:rPr>
          <w:vertAlign w:val="subscript"/>
        </w:rPr>
        <w:t>2</w:t>
      </w:r>
      <w:r w:rsidRPr="003912CE">
        <w:t>SO</w:t>
      </w:r>
      <w:r w:rsidRPr="003912CE">
        <w:rPr>
          <w:vertAlign w:val="subscript"/>
        </w:rPr>
        <w:t>4</w:t>
      </w:r>
      <w:r w:rsidRPr="003912CE">
        <w:t xml:space="preserve"> presented </w:t>
      </w:r>
      <w:r w:rsidRPr="00F51A4C">
        <w:t xml:space="preserve">in Figure 5B, also demonstrated the triangular tendency through CD rising, but started to show some alterations in shape resolution, probably due to process alterations at the double layer, like a </w:t>
      </w:r>
      <w:proofErr w:type="spellStart"/>
      <w:r w:rsidRPr="00F51A4C">
        <w:t>pseudocapacitance</w:t>
      </w:r>
      <w:proofErr w:type="spellEnd"/>
      <w:r w:rsidRPr="00F51A4C">
        <w:t xml:space="preserve"> rising phenomenon </w:t>
      </w:r>
      <w:r w:rsidRPr="00F51A4C">
        <w:fldChar w:fldCharType="begin"/>
      </w:r>
      <w:r w:rsidR="00CE50FD">
        <w:instrText xml:space="preserve"> ADDIN EN.CITE &lt;EndNote&gt;&lt;Cite&gt;&lt;Author&gt;Zhang&lt;/Author&gt;&lt;Year&gt;2014&lt;/Year&gt;&lt;RecNum&gt;658&lt;/RecNum&gt;&lt;DisplayText&gt;[47]&lt;/DisplayText&gt;&lt;record&gt;&lt;rec-number&gt;658&lt;/rec-number&gt;&lt;foreign-keys&gt;&lt;key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Pr="00F51A4C">
        <w:fldChar w:fldCharType="separate"/>
      </w:r>
      <w:r w:rsidR="00CE50FD">
        <w:rPr>
          <w:noProof/>
        </w:rPr>
        <w:t>[47]</w:t>
      </w:r>
      <w:r w:rsidRPr="00F51A4C">
        <w:fldChar w:fldCharType="end"/>
      </w:r>
      <w:r w:rsidRPr="00F51A4C">
        <w:t xml:space="preserve">. This tendency is accentuated at KOH profiles (Figure 5C), </w:t>
      </w:r>
      <w:r>
        <w:t>e</w:t>
      </w:r>
      <w:r w:rsidRPr="00F51A4C">
        <w:t xml:space="preserve">specially at discharge lines, where its definition intensifies the </w:t>
      </w:r>
      <w:proofErr w:type="spellStart"/>
      <w:r w:rsidRPr="00F51A4C">
        <w:t>pseudocapacitance</w:t>
      </w:r>
      <w:proofErr w:type="spellEnd"/>
      <w:r w:rsidRPr="00F51A4C">
        <w:t xml:space="preserve"> growth </w:t>
      </w:r>
      <w:r w:rsidRPr="00F51A4C">
        <w:lastRenderedPageBreak/>
        <w:t xml:space="preserve">hypothesis, added to a possible decrease in activity, due to the higher pH, since water-based electrolytes were used </w:t>
      </w:r>
      <w:r w:rsidRPr="00F51A4C">
        <w:fldChar w:fldCharType="begin"/>
      </w:r>
      <w:r w:rsidR="00CE50FD">
        <w:instrText xml:space="preserve"> ADDIN EN.CITE &lt;EndNote&gt;&lt;Cite&gt;&lt;Author&gt;Mitchell&lt;/Author&gt;&lt;Year&gt;2021&lt;/Year&gt;&lt;RecNum&gt;656&lt;/RecNum&gt;&lt;DisplayText&gt;[48, 49]&lt;/DisplayText&gt;&lt;record&gt;&lt;rec-number&gt;656&lt;/rec-number&gt;&lt;foreign-keys&gt;&lt;key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Pr="00F51A4C">
        <w:fldChar w:fldCharType="separate"/>
      </w:r>
      <w:r w:rsidR="00CE50FD">
        <w:rPr>
          <w:noProof/>
        </w:rPr>
        <w:t>[48, 49]</w:t>
      </w:r>
      <w:r w:rsidRPr="00F51A4C">
        <w:fldChar w:fldCharType="end"/>
      </w:r>
      <w:r w:rsidRPr="00F51A4C">
        <w:t xml:space="preserve">. </w:t>
      </w:r>
      <w:r w:rsidR="008156C6" w:rsidRPr="008156C6">
        <w:rPr>
          <w:color w:val="auto"/>
          <w:highlight w:val="yellow"/>
        </w:rPr>
        <w:t xml:space="preserve">Table 2 </w:t>
      </w:r>
      <w:r w:rsidR="008156C6" w:rsidRPr="008156C6">
        <w:rPr>
          <w:highlight w:val="yellow"/>
        </w:rPr>
        <w:t xml:space="preserve">shows the calculated rate capacitance for each of the aforementioned systems, </w:t>
      </w:r>
      <w:r w:rsidR="00A02DBC">
        <w:rPr>
          <w:highlight w:val="yellow"/>
        </w:rPr>
        <w:t>in which the alkaline performance starts the highest, but is diminished to ~4% its initial value. In saline solution the observed behavior is similar, while in H</w:t>
      </w:r>
      <w:r w:rsidR="00A02DBC" w:rsidRPr="00F147A9">
        <w:rPr>
          <w:highlight w:val="yellow"/>
          <w:vertAlign w:val="subscript"/>
        </w:rPr>
        <w:t>2</w:t>
      </w:r>
      <w:r w:rsidR="00A02DBC">
        <w:rPr>
          <w:highlight w:val="yellow"/>
        </w:rPr>
        <w:t>SO</w:t>
      </w:r>
      <w:r w:rsidR="00A02DBC" w:rsidRPr="00F147A9">
        <w:rPr>
          <w:highlight w:val="yellow"/>
          <w:vertAlign w:val="subscript"/>
        </w:rPr>
        <w:t>4</w:t>
      </w:r>
      <w:r w:rsidR="00A02DBC">
        <w:rPr>
          <w:highlight w:val="yellow"/>
        </w:rPr>
        <w:t xml:space="preserve"> only a third of the initial rate capacitance is observed to be lost with the increase in current density, </w:t>
      </w:r>
      <w:r w:rsidR="008156C6" w:rsidRPr="008156C6">
        <w:rPr>
          <w:highlight w:val="yellow"/>
        </w:rPr>
        <w:t>further demonstrating a higher stability for</w:t>
      </w:r>
      <w:r w:rsidR="00A02DBC">
        <w:rPr>
          <w:highlight w:val="yellow"/>
        </w:rPr>
        <w:t xml:space="preserve"> the device in</w:t>
      </w:r>
      <w:r w:rsidR="008156C6" w:rsidRPr="008156C6">
        <w:rPr>
          <w:highlight w:val="yellow"/>
        </w:rPr>
        <w:t xml:space="preserve"> </w:t>
      </w:r>
      <w:r w:rsidR="00A02DBC">
        <w:rPr>
          <w:highlight w:val="yellow"/>
        </w:rPr>
        <w:t>such</w:t>
      </w:r>
      <w:r w:rsidR="008156C6" w:rsidRPr="008156C6">
        <w:rPr>
          <w:highlight w:val="yellow"/>
        </w:rPr>
        <w:t xml:space="preserve"> media. </w:t>
      </w:r>
      <w:r w:rsidRPr="008156C6">
        <w:rPr>
          <w:highlight w:val="yellow"/>
        </w:rPr>
        <w:t>With</w:t>
      </w:r>
      <w:r w:rsidR="00A02DBC">
        <w:rPr>
          <w:highlight w:val="yellow"/>
        </w:rPr>
        <w:t xml:space="preserve"> </w:t>
      </w:r>
      <w:r w:rsidR="008156C6" w:rsidRPr="008156C6">
        <w:rPr>
          <w:highlight w:val="yellow"/>
        </w:rPr>
        <w:t>th</w:t>
      </w:r>
      <w:r w:rsidR="00A02DBC">
        <w:rPr>
          <w:highlight w:val="yellow"/>
        </w:rPr>
        <w:t>ese</w:t>
      </w:r>
      <w:r w:rsidR="008156C6" w:rsidRPr="008156C6">
        <w:rPr>
          <w:highlight w:val="yellow"/>
        </w:rPr>
        <w:t xml:space="preserve"> data</w:t>
      </w:r>
      <w:r w:rsidRPr="00F51A4C">
        <w:t xml:space="preserve">, it is possible to conclude that the charge and discharge time increases with saline and alkaline solutions, while the acidic electrolyte seems to have more attractive features for </w:t>
      </w:r>
      <w:r w:rsidR="00A02DBC">
        <w:t>this</w:t>
      </w:r>
      <w:r w:rsidRPr="00F51A4C">
        <w:t xml:space="preserve"> supercapacitor, including a flatter profile and lower PCD time.</w:t>
      </w:r>
    </w:p>
    <w:p w14:paraId="74BB5414" w14:textId="77777777" w:rsidR="0029111A" w:rsidRPr="00F51A4C" w:rsidRDefault="0029111A" w:rsidP="005A2215">
      <w:pPr>
        <w:spacing w:line="360" w:lineRule="auto"/>
        <w:ind w:left="2268"/>
        <w:rPr>
          <w:rFonts w:ascii="Times New Roman" w:hAnsi="Times New Roman"/>
          <w:sz w:val="24"/>
          <w:szCs w:val="24"/>
        </w:rPr>
      </w:pPr>
      <w:r w:rsidRPr="00F51A4C">
        <w:rPr>
          <w:rFonts w:ascii="Times New Roman" w:hAnsi="Times New Roman"/>
          <w:sz w:val="24"/>
          <w:szCs w:val="24"/>
        </w:rPr>
        <w:drawing>
          <wp:inline distT="0" distB="0" distL="0" distR="0" wp14:anchorId="6AB83E80" wp14:editId="3942B2AE">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51956D37" w14:textId="01D935B7" w:rsidR="0029111A" w:rsidRDefault="0029111A" w:rsidP="00CF77B4">
      <w:pPr>
        <w:pStyle w:val="MDPI51figurecaption"/>
      </w:pPr>
      <w:r w:rsidRPr="00F51A4C">
        <w:rPr>
          <w:b/>
          <w:bCs/>
        </w:rPr>
        <w:t>Figure 5</w:t>
      </w:r>
      <w:r w:rsidRPr="00F51A4C">
        <w:t xml:space="preserve">. </w:t>
      </w:r>
      <w:r w:rsidRPr="00F51A4C">
        <w:rPr>
          <w:i/>
          <w:iCs/>
        </w:rPr>
        <w:t xml:space="preserve">E vs t </w:t>
      </w:r>
      <w:r w:rsidRPr="00F51A4C">
        <w:t>plots of CB/CA PCD profiles in 1.0 mol L</w:t>
      </w:r>
      <w:r w:rsidRPr="00F51A4C">
        <w:rPr>
          <w:rFonts w:ascii="Symbol" w:hAnsi="Symbol"/>
          <w:vertAlign w:val="superscript"/>
        </w:rPr>
        <w:t>-</w:t>
      </w:r>
      <w:r w:rsidRPr="00F51A4C">
        <w:rPr>
          <w:vertAlign w:val="superscript"/>
        </w:rPr>
        <w:t>1</w:t>
      </w:r>
      <w:r w:rsidRPr="00F51A4C">
        <w:rPr>
          <w:b/>
          <w:bCs/>
          <w:vertAlign w:val="superscript"/>
        </w:rPr>
        <w:t xml:space="preserve"> </w:t>
      </w:r>
      <w:r w:rsidRPr="00F51A4C">
        <w:rPr>
          <w:b/>
          <w:bCs/>
        </w:rPr>
        <w:t>(A)</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b/>
          <w:bCs/>
        </w:rPr>
        <w:t>(B)</w:t>
      </w:r>
      <w:r w:rsidRPr="00F51A4C">
        <w:t xml:space="preserve"> Na</w:t>
      </w:r>
      <w:r w:rsidRPr="00F51A4C">
        <w:rPr>
          <w:vertAlign w:val="subscript"/>
        </w:rPr>
        <w:t>2</w:t>
      </w:r>
      <w:r w:rsidRPr="00F51A4C">
        <w:t>SO</w:t>
      </w:r>
      <w:r w:rsidRPr="00F51A4C">
        <w:rPr>
          <w:vertAlign w:val="subscript"/>
        </w:rPr>
        <w:t>4</w:t>
      </w:r>
      <w:r w:rsidRPr="00F51A4C">
        <w:t xml:space="preserve">; </w:t>
      </w:r>
      <w:r w:rsidRPr="00F51A4C">
        <w:rPr>
          <w:b/>
          <w:bCs/>
        </w:rPr>
        <w:t>(C)</w:t>
      </w:r>
      <w:r w:rsidRPr="00F51A4C">
        <w:t xml:space="preserve"> KOH, at different CD values: 0.5; 1.0; 2.0; 3.0 and 4.0 A g</w:t>
      </w:r>
      <w:r w:rsidRPr="00F51A4C">
        <w:rPr>
          <w:rFonts w:ascii="Symbol" w:hAnsi="Symbol"/>
          <w:vertAlign w:val="superscript"/>
        </w:rPr>
        <w:t>-</w:t>
      </w:r>
      <w:r w:rsidRPr="00F51A4C">
        <w:rPr>
          <w:vertAlign w:val="superscript"/>
        </w:rPr>
        <w:t>1</w:t>
      </w:r>
      <w:r w:rsidRPr="00F51A4C">
        <w:t xml:space="preserve">. </w:t>
      </w:r>
      <w:r w:rsidRPr="00F51A4C">
        <w:rPr>
          <w:b/>
          <w:bCs/>
        </w:rPr>
        <w:t>(D)</w:t>
      </w:r>
      <w:r w:rsidRPr="00F51A4C">
        <w:t xml:space="preserve"> SP </w:t>
      </w:r>
      <w:r w:rsidRPr="00F51A4C">
        <w:rPr>
          <w:i/>
          <w:iCs/>
        </w:rPr>
        <w:t>vs</w:t>
      </w:r>
      <w:r w:rsidRPr="00F51A4C">
        <w:t xml:space="preserve"> SE (</w:t>
      </w:r>
      <w:proofErr w:type="spellStart"/>
      <w:r w:rsidRPr="00F51A4C">
        <w:t>Ragone</w:t>
      </w:r>
      <w:proofErr w:type="spellEnd"/>
      <w:r w:rsidRPr="00F51A4C">
        <w:t xml:space="preserve"> plots) for CB/CA in different and equimolar 1.0 mol L</w:t>
      </w:r>
      <w:r w:rsidRPr="00F51A4C">
        <w:rPr>
          <w:rFonts w:ascii="Symbol" w:hAnsi="Symbol"/>
          <w:vertAlign w:val="superscript"/>
        </w:rPr>
        <w:t>-</w:t>
      </w:r>
      <w:r w:rsidRPr="00F51A4C">
        <w:rPr>
          <w:vertAlign w:val="superscript"/>
        </w:rPr>
        <w:t>1</w:t>
      </w:r>
      <w:r w:rsidRPr="00F51A4C">
        <w:t xml:space="preserve"> electrolytes: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xml:space="preserve">); </w:t>
      </w:r>
      <w:r w:rsidRPr="00F51A4C">
        <w:rPr>
          <w:b/>
          <w:bCs/>
        </w:rPr>
        <w:t>(E)</w:t>
      </w:r>
      <w:r w:rsidRPr="00F51A4C">
        <w:t xml:space="preserve"> Dispersion plot of </w:t>
      </w:r>
      <w:r w:rsidRPr="00F51A4C">
        <w:lastRenderedPageBreak/>
        <w:t xml:space="preserve">PCDs SC </w:t>
      </w:r>
      <w:r w:rsidRPr="00F51A4C">
        <w:rPr>
          <w:i/>
          <w:iCs/>
        </w:rPr>
        <w:t xml:space="preserve">vs </w:t>
      </w:r>
      <w:r w:rsidRPr="00F51A4C">
        <w:t>different current densities (0.5, 1.0, 2.0, 3.0 and 4.0 A g</w:t>
      </w:r>
      <w:r w:rsidRPr="00F51A4C">
        <w:rPr>
          <w:rFonts w:ascii="Symbol" w:hAnsi="Symbol"/>
          <w:vertAlign w:val="superscript"/>
        </w:rPr>
        <w:t>-</w:t>
      </w:r>
      <w:r w:rsidRPr="00F51A4C">
        <w:rPr>
          <w:vertAlign w:val="superscript"/>
        </w:rPr>
        <w:t>1</w:t>
      </w:r>
      <w:r w:rsidRPr="00F51A4C">
        <w:t>) for CB/CA in different and equimolar 1.0 mol L</w:t>
      </w:r>
      <w:r w:rsidRPr="00F51A4C">
        <w:rPr>
          <w:rFonts w:ascii="Symbol" w:hAnsi="Symbol"/>
          <w:vertAlign w:val="superscript"/>
        </w:rPr>
        <w:t>-</w:t>
      </w:r>
      <w:r w:rsidRPr="00F51A4C">
        <w:rPr>
          <w:vertAlign w:val="superscript"/>
        </w:rPr>
        <w:t>1</w:t>
      </w:r>
      <w:r w:rsidRPr="00F51A4C">
        <w:t xml:space="preserve"> electrolytes: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xml:space="preserve">); </w:t>
      </w:r>
      <w:r w:rsidRPr="00F51A4C">
        <w:rPr>
          <w:b/>
          <w:bCs/>
        </w:rPr>
        <w:t>(F)</w:t>
      </w:r>
      <w:r w:rsidRPr="00F51A4C">
        <w:t xml:space="preserve"> Capacitor efficiency, in equimolar 1.0 mol L</w:t>
      </w:r>
      <w:r w:rsidRPr="00F51A4C">
        <w:rPr>
          <w:rFonts w:ascii="Symbol" w:hAnsi="Symbol"/>
          <w:vertAlign w:val="superscript"/>
        </w:rPr>
        <w:t>-</w:t>
      </w:r>
      <w:r w:rsidRPr="00F51A4C">
        <w:rPr>
          <w:vertAlign w:val="superscript"/>
        </w:rPr>
        <w:t>1</w:t>
      </w:r>
      <w:r w:rsidRPr="00F51A4C">
        <w:t xml:space="preserve"> H</w:t>
      </w:r>
      <w:r w:rsidRPr="00F51A4C">
        <w:rPr>
          <w:vertAlign w:val="subscript"/>
        </w:rPr>
        <w:t>2</w:t>
      </w:r>
      <w:r w:rsidRPr="00F51A4C">
        <w:t>SO</w:t>
      </w:r>
      <w:r w:rsidRPr="00F51A4C">
        <w:rPr>
          <w:vertAlign w:val="subscript"/>
        </w:rPr>
        <w:t>4</w:t>
      </w:r>
      <w:r w:rsidRPr="00F51A4C">
        <w:t xml:space="preserve"> (</w:t>
      </w:r>
      <w:r w:rsidRPr="00F51A4C">
        <w:rPr>
          <w:rFonts w:ascii="Times New Roman" w:hAnsi="Times New Roman"/>
          <w:color w:val="0000FF"/>
        </w:rPr>
        <w:t>▲</w:t>
      </w:r>
      <w:r w:rsidRPr="00F51A4C">
        <w:t>), Na</w:t>
      </w:r>
      <w:r w:rsidRPr="00F51A4C">
        <w:rPr>
          <w:vertAlign w:val="subscript"/>
        </w:rPr>
        <w:t>2</w:t>
      </w:r>
      <w:r w:rsidRPr="00F51A4C">
        <w:t>SO</w:t>
      </w:r>
      <w:r w:rsidRPr="00F51A4C">
        <w:rPr>
          <w:vertAlign w:val="subscript"/>
        </w:rPr>
        <w:t xml:space="preserve">4 </w:t>
      </w:r>
      <w:r w:rsidRPr="00F51A4C">
        <w:t>(</w:t>
      </w:r>
      <w:r w:rsidRPr="00F51A4C">
        <w:rPr>
          <w:color w:val="FF0000"/>
        </w:rPr>
        <w:t>●</w:t>
      </w:r>
      <w:r w:rsidRPr="00F51A4C">
        <w:t>) and KOH (</w:t>
      </w:r>
      <w:r w:rsidRPr="00F51A4C">
        <w:rPr>
          <w:rFonts w:ascii="Times New Roman" w:hAnsi="Times New Roman"/>
        </w:rPr>
        <w:t>■</w:t>
      </w:r>
      <w:r w:rsidRPr="00F51A4C">
        <w:t>), for CB/CA devices</w:t>
      </w:r>
    </w:p>
    <w:p w14:paraId="04EE6F45" w14:textId="79D19240" w:rsidR="008156C6" w:rsidRDefault="008156C6" w:rsidP="00CF77B4">
      <w:pPr>
        <w:pStyle w:val="MDPI51figurecaption"/>
      </w:pPr>
    </w:p>
    <w:p w14:paraId="77E49F6D" w14:textId="0A66A60C" w:rsidR="008156C6" w:rsidRDefault="008156C6" w:rsidP="00CF77B4">
      <w:pPr>
        <w:pStyle w:val="MDPI51figurecaption"/>
      </w:pPr>
    </w:p>
    <w:p w14:paraId="1EFCC898" w14:textId="360554E0" w:rsidR="008156C6" w:rsidRDefault="008156C6" w:rsidP="00CF77B4">
      <w:pPr>
        <w:pStyle w:val="MDPI51figurecaption"/>
      </w:pPr>
    </w:p>
    <w:p w14:paraId="0595F85C" w14:textId="50BA1DE6" w:rsidR="008156C6" w:rsidRDefault="008156C6" w:rsidP="00CF77B4">
      <w:pPr>
        <w:pStyle w:val="MDPI51figurecaption"/>
      </w:pPr>
    </w:p>
    <w:tbl>
      <w:tblPr>
        <w:tblStyle w:val="SimplesTabela2"/>
        <w:tblW w:w="7627" w:type="dxa"/>
        <w:tblInd w:w="2857" w:type="dxa"/>
        <w:tblLook w:val="04A0" w:firstRow="1" w:lastRow="0" w:firstColumn="1" w:lastColumn="0" w:noHBand="0" w:noVBand="1"/>
      </w:tblPr>
      <w:tblGrid>
        <w:gridCol w:w="1401"/>
        <w:gridCol w:w="1210"/>
        <w:gridCol w:w="1209"/>
        <w:gridCol w:w="1513"/>
        <w:gridCol w:w="1147"/>
        <w:gridCol w:w="1147"/>
      </w:tblGrid>
      <w:tr w:rsidR="008156C6" w:rsidRPr="007141CC" w14:paraId="2B06CF60" w14:textId="2D76D6C9" w:rsidTr="008156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33" w:type="dxa"/>
            <w:gridSpan w:val="4"/>
            <w:tcBorders>
              <w:top w:val="nil"/>
            </w:tcBorders>
            <w:vAlign w:val="center"/>
          </w:tcPr>
          <w:p w14:paraId="74BA52C9" w14:textId="467F3E35" w:rsidR="008156C6" w:rsidRPr="00214057" w:rsidRDefault="008156C6" w:rsidP="002D146A">
            <w:pPr>
              <w:pStyle w:val="MDPI41tablecaption"/>
              <w:ind w:left="0"/>
              <w:rPr>
                <w:highlight w:val="yellow"/>
                <w:lang w:val="en-US"/>
              </w:rPr>
            </w:pPr>
            <w:r w:rsidRPr="00214057">
              <w:rPr>
                <w:highlight w:val="yellow"/>
                <w:lang w:val="en-US"/>
              </w:rPr>
              <w:t xml:space="preserve">Table 2. </w:t>
            </w:r>
            <w:r w:rsidRPr="00214057">
              <w:rPr>
                <w:b w:val="0"/>
                <w:bCs w:val="0"/>
                <w:highlight w:val="yellow"/>
                <w:lang w:val="en-US"/>
              </w:rPr>
              <w:t>Rate capacitance obtained by CB/CA in different 1.0 mol L</w:t>
            </w:r>
            <w:r w:rsidRPr="00214057">
              <w:rPr>
                <w:rFonts w:ascii="Symbol" w:hAnsi="Symbol"/>
                <w:b w:val="0"/>
                <w:bCs w:val="0"/>
                <w:highlight w:val="yellow"/>
                <w:vertAlign w:val="superscript"/>
                <w:lang w:val="en-US"/>
              </w:rPr>
              <w:t>-</w:t>
            </w:r>
            <w:r w:rsidRPr="00214057">
              <w:rPr>
                <w:b w:val="0"/>
                <w:bCs w:val="0"/>
                <w:highlight w:val="yellow"/>
                <w:vertAlign w:val="superscript"/>
                <w:lang w:val="en-US"/>
              </w:rPr>
              <w:t>1</w:t>
            </w:r>
            <w:r w:rsidRPr="00214057">
              <w:rPr>
                <w:b w:val="0"/>
                <w:bCs w:val="0"/>
                <w:highlight w:val="yellow"/>
                <w:lang w:val="en-US"/>
              </w:rPr>
              <w:t xml:space="preserve"> electrolytes and current densities</w:t>
            </w:r>
          </w:p>
        </w:tc>
        <w:tc>
          <w:tcPr>
            <w:tcW w:w="1147" w:type="dxa"/>
            <w:tcBorders>
              <w:top w:val="nil"/>
            </w:tcBorders>
          </w:tcPr>
          <w:p w14:paraId="5FFC54A2" w14:textId="77777777" w:rsidR="008156C6" w:rsidRPr="00214057"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highlight w:val="yellow"/>
                <w:lang w:val="en-US"/>
              </w:rPr>
            </w:pPr>
          </w:p>
        </w:tc>
        <w:tc>
          <w:tcPr>
            <w:tcW w:w="1147" w:type="dxa"/>
            <w:tcBorders>
              <w:top w:val="nil"/>
            </w:tcBorders>
          </w:tcPr>
          <w:p w14:paraId="431A9990" w14:textId="77777777" w:rsidR="008156C6" w:rsidRPr="00214057" w:rsidRDefault="008156C6" w:rsidP="002D146A">
            <w:pPr>
              <w:pStyle w:val="MDPI41tablecaption"/>
              <w:ind w:left="0"/>
              <w:cnfStyle w:val="100000000000" w:firstRow="1" w:lastRow="0" w:firstColumn="0" w:lastColumn="0" w:oddVBand="0" w:evenVBand="0" w:oddHBand="0" w:evenHBand="0" w:firstRowFirstColumn="0" w:firstRowLastColumn="0" w:lastRowFirstColumn="0" w:lastRowLastColumn="0"/>
              <w:rPr>
                <w:highlight w:val="yellow"/>
                <w:lang w:val="en-US"/>
              </w:rPr>
            </w:pPr>
          </w:p>
        </w:tc>
      </w:tr>
      <w:tr w:rsidR="008156C6" w:rsidRPr="00F51A4C" w14:paraId="2CC13F4C" w14:textId="77777777"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vMerge w:val="restart"/>
            <w:vAlign w:val="center"/>
          </w:tcPr>
          <w:p w14:paraId="494D9BBA" w14:textId="254DDD6B" w:rsidR="008156C6" w:rsidRPr="00214057" w:rsidRDefault="008156C6" w:rsidP="002D146A">
            <w:pPr>
              <w:pStyle w:val="MDPI42tablebody"/>
              <w:rPr>
                <w:highlight w:val="yellow"/>
                <w:lang w:val="en-US"/>
              </w:rPr>
            </w:pPr>
            <w:r w:rsidRPr="00214057">
              <w:rPr>
                <w:highlight w:val="yellow"/>
                <w:lang w:val="en-US"/>
              </w:rPr>
              <w:t>Electrolyte</w:t>
            </w:r>
          </w:p>
        </w:tc>
        <w:tc>
          <w:tcPr>
            <w:tcW w:w="6226" w:type="dxa"/>
            <w:gridSpan w:val="5"/>
            <w:vAlign w:val="center"/>
          </w:tcPr>
          <w:p w14:paraId="498274A2" w14:textId="5E7E204A"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b/>
                <w:bCs/>
                <w:highlight w:val="yellow"/>
                <w:lang w:val="en-US"/>
              </w:rPr>
            </w:pPr>
            <w:r w:rsidRPr="00214057">
              <w:rPr>
                <w:b/>
                <w:bCs/>
                <w:highlight w:val="yellow"/>
                <w:lang w:val="en-US"/>
              </w:rPr>
              <w:t>Rate capacitance (F g</w:t>
            </w:r>
            <w:r w:rsidRPr="00214057">
              <w:rPr>
                <w:rFonts w:ascii="Symbol" w:hAnsi="Symbol"/>
                <w:b/>
                <w:bCs/>
                <w:highlight w:val="yellow"/>
                <w:vertAlign w:val="superscript"/>
                <w:lang w:val="en-US"/>
              </w:rPr>
              <w:t>-</w:t>
            </w:r>
            <w:r w:rsidRPr="00214057">
              <w:rPr>
                <w:b/>
                <w:bCs/>
                <w:highlight w:val="yellow"/>
                <w:vertAlign w:val="superscript"/>
                <w:lang w:val="en-US"/>
              </w:rPr>
              <w:t>1</w:t>
            </w:r>
            <w:r w:rsidRPr="00214057">
              <w:rPr>
                <w:b/>
                <w:bCs/>
                <w:highlight w:val="yellow"/>
                <w:lang w:val="en-US"/>
              </w:rPr>
              <w:t>)</w:t>
            </w:r>
          </w:p>
        </w:tc>
      </w:tr>
      <w:tr w:rsidR="008156C6" w:rsidRPr="00F51A4C" w14:paraId="3F373ECA" w14:textId="6E81FA28" w:rsidTr="008156C6">
        <w:tc>
          <w:tcPr>
            <w:cnfStyle w:val="001000000000" w:firstRow="0" w:lastRow="0" w:firstColumn="1" w:lastColumn="0" w:oddVBand="0" w:evenVBand="0" w:oddHBand="0" w:evenHBand="0" w:firstRowFirstColumn="0" w:firstRowLastColumn="0" w:lastRowFirstColumn="0" w:lastRowLastColumn="0"/>
            <w:tcW w:w="1401" w:type="dxa"/>
            <w:vMerge/>
            <w:vAlign w:val="center"/>
          </w:tcPr>
          <w:p w14:paraId="3F4E4E26" w14:textId="76A14E83" w:rsidR="008156C6" w:rsidRPr="00214057" w:rsidRDefault="008156C6" w:rsidP="002D146A">
            <w:pPr>
              <w:pStyle w:val="MDPI42tablebody"/>
              <w:rPr>
                <w:highlight w:val="yellow"/>
                <w:lang w:val="en-US"/>
              </w:rPr>
            </w:pPr>
          </w:p>
        </w:tc>
        <w:tc>
          <w:tcPr>
            <w:tcW w:w="1210" w:type="dxa"/>
            <w:vAlign w:val="center"/>
          </w:tcPr>
          <w:p w14:paraId="3A18CB17" w14:textId="38099F26"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b/>
                <w:bCs/>
                <w:highlight w:val="yellow"/>
                <w:lang w:val="en-US"/>
              </w:rPr>
            </w:pPr>
            <w:r w:rsidRPr="00214057">
              <w:rPr>
                <w:b/>
                <w:bCs/>
                <w:highlight w:val="yellow"/>
                <w:lang w:val="en-US"/>
              </w:rPr>
              <w:t>0.5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209" w:type="dxa"/>
            <w:vAlign w:val="center"/>
          </w:tcPr>
          <w:p w14:paraId="64340F8A" w14:textId="3EBFEE1D"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1.0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513" w:type="dxa"/>
            <w:vAlign w:val="center"/>
          </w:tcPr>
          <w:p w14:paraId="3C450756" w14:textId="420F98F1"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2.0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147" w:type="dxa"/>
          </w:tcPr>
          <w:p w14:paraId="51266233" w14:textId="3C5035A4"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3.0 A g</w:t>
            </w:r>
            <w:r w:rsidRPr="00214057">
              <w:rPr>
                <w:rFonts w:ascii="Symbol" w:hAnsi="Symbol"/>
                <w:b/>
                <w:bCs/>
                <w:highlight w:val="yellow"/>
                <w:vertAlign w:val="superscript"/>
                <w:lang w:val="en-US"/>
              </w:rPr>
              <w:t>-</w:t>
            </w:r>
            <w:r w:rsidRPr="00214057">
              <w:rPr>
                <w:b/>
                <w:bCs/>
                <w:highlight w:val="yellow"/>
                <w:vertAlign w:val="superscript"/>
                <w:lang w:val="en-US"/>
              </w:rPr>
              <w:t>1</w:t>
            </w:r>
          </w:p>
        </w:tc>
        <w:tc>
          <w:tcPr>
            <w:tcW w:w="1147" w:type="dxa"/>
          </w:tcPr>
          <w:p w14:paraId="0B66D05D" w14:textId="1123ADA5"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b/>
                <w:bCs/>
                <w:highlight w:val="yellow"/>
                <w:lang w:val="en-US"/>
              </w:rPr>
              <w:t>4.0 A g</w:t>
            </w:r>
            <w:r w:rsidRPr="00214057">
              <w:rPr>
                <w:rFonts w:ascii="Symbol" w:hAnsi="Symbol"/>
                <w:b/>
                <w:bCs/>
                <w:highlight w:val="yellow"/>
                <w:vertAlign w:val="superscript"/>
                <w:lang w:val="en-US"/>
              </w:rPr>
              <w:t>-</w:t>
            </w:r>
            <w:r w:rsidRPr="00214057">
              <w:rPr>
                <w:b/>
                <w:bCs/>
                <w:highlight w:val="yellow"/>
                <w:vertAlign w:val="superscript"/>
                <w:lang w:val="en-US"/>
              </w:rPr>
              <w:t>1</w:t>
            </w:r>
          </w:p>
        </w:tc>
      </w:tr>
      <w:tr w:rsidR="008156C6" w:rsidRPr="00F51A4C" w14:paraId="3E36B40C" w14:textId="02542EC5"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570AF56" w14:textId="2A4295EB" w:rsidR="008156C6" w:rsidRPr="00214057" w:rsidRDefault="008156C6" w:rsidP="002D146A">
            <w:pPr>
              <w:pStyle w:val="MDPI42tablebody"/>
              <w:rPr>
                <w:highlight w:val="yellow"/>
                <w:lang w:val="en-US"/>
              </w:rPr>
            </w:pPr>
            <w:r w:rsidRPr="00214057">
              <w:rPr>
                <w:highlight w:val="yellow"/>
                <w:lang w:val="en-US"/>
              </w:rPr>
              <w:t>H</w:t>
            </w:r>
            <w:r w:rsidRPr="00214057">
              <w:rPr>
                <w:highlight w:val="yellow"/>
                <w:vertAlign w:val="subscript"/>
                <w:lang w:val="en-US"/>
              </w:rPr>
              <w:t>2</w:t>
            </w:r>
            <w:r w:rsidRPr="00214057">
              <w:rPr>
                <w:highlight w:val="yellow"/>
                <w:lang w:val="en-US"/>
              </w:rPr>
              <w:t>SO</w:t>
            </w:r>
            <w:r w:rsidRPr="00214057">
              <w:rPr>
                <w:highlight w:val="yellow"/>
                <w:vertAlign w:val="subscript"/>
                <w:lang w:val="en-US"/>
              </w:rPr>
              <w:t>4</w:t>
            </w:r>
          </w:p>
        </w:tc>
        <w:tc>
          <w:tcPr>
            <w:tcW w:w="1210" w:type="dxa"/>
          </w:tcPr>
          <w:p w14:paraId="0F035BEC" w14:textId="1195E9B6"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30.01</w:t>
            </w:r>
          </w:p>
        </w:tc>
        <w:tc>
          <w:tcPr>
            <w:tcW w:w="1209" w:type="dxa"/>
          </w:tcPr>
          <w:p w14:paraId="0EEA32DF" w14:textId="14A551D7"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28.23</w:t>
            </w:r>
          </w:p>
        </w:tc>
        <w:tc>
          <w:tcPr>
            <w:tcW w:w="1513" w:type="dxa"/>
          </w:tcPr>
          <w:p w14:paraId="49AE4916" w14:textId="2BA7B94C"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24.38</w:t>
            </w:r>
          </w:p>
        </w:tc>
        <w:tc>
          <w:tcPr>
            <w:tcW w:w="1147" w:type="dxa"/>
          </w:tcPr>
          <w:p w14:paraId="296CCC6C" w14:textId="01FE009B"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24.13</w:t>
            </w:r>
          </w:p>
        </w:tc>
        <w:tc>
          <w:tcPr>
            <w:tcW w:w="1147" w:type="dxa"/>
          </w:tcPr>
          <w:p w14:paraId="7292EAC5" w14:textId="2EC1C2DE"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20.7</w:t>
            </w:r>
          </w:p>
        </w:tc>
      </w:tr>
      <w:tr w:rsidR="008156C6" w:rsidRPr="00F51A4C" w14:paraId="1654ADB1" w14:textId="0945720C" w:rsidTr="008156C6">
        <w:tc>
          <w:tcPr>
            <w:cnfStyle w:val="001000000000" w:firstRow="0" w:lastRow="0" w:firstColumn="1" w:lastColumn="0" w:oddVBand="0" w:evenVBand="0" w:oddHBand="0" w:evenHBand="0" w:firstRowFirstColumn="0" w:firstRowLastColumn="0" w:lastRowFirstColumn="0" w:lastRowLastColumn="0"/>
            <w:tcW w:w="1401" w:type="dxa"/>
          </w:tcPr>
          <w:p w14:paraId="53A60F25" w14:textId="51B8FC6C" w:rsidR="008156C6" w:rsidRPr="00214057" w:rsidRDefault="008156C6" w:rsidP="002D146A">
            <w:pPr>
              <w:pStyle w:val="MDPI42tablebody"/>
              <w:rPr>
                <w:highlight w:val="yellow"/>
                <w:lang w:val="en-US"/>
              </w:rPr>
            </w:pPr>
            <w:r w:rsidRPr="00214057">
              <w:rPr>
                <w:highlight w:val="yellow"/>
                <w:lang w:val="en-US"/>
              </w:rPr>
              <w:t>KOH</w:t>
            </w:r>
          </w:p>
        </w:tc>
        <w:tc>
          <w:tcPr>
            <w:tcW w:w="1210" w:type="dxa"/>
          </w:tcPr>
          <w:p w14:paraId="249FCFAA" w14:textId="70B9AB7F"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100.6</w:t>
            </w:r>
          </w:p>
        </w:tc>
        <w:tc>
          <w:tcPr>
            <w:tcW w:w="1209" w:type="dxa"/>
          </w:tcPr>
          <w:p w14:paraId="21EE82B4" w14:textId="4EF82E62"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64.85</w:t>
            </w:r>
          </w:p>
        </w:tc>
        <w:tc>
          <w:tcPr>
            <w:tcW w:w="1513" w:type="dxa"/>
          </w:tcPr>
          <w:p w14:paraId="5618F3FA" w14:textId="1AD705D9"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15.70</w:t>
            </w:r>
          </w:p>
        </w:tc>
        <w:tc>
          <w:tcPr>
            <w:tcW w:w="1147" w:type="dxa"/>
          </w:tcPr>
          <w:p w14:paraId="504223DA" w14:textId="23E48E65" w:rsidR="008156C6" w:rsidRPr="00214057" w:rsidRDefault="008156C6" w:rsidP="002D146A">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8.280</w:t>
            </w:r>
          </w:p>
        </w:tc>
        <w:tc>
          <w:tcPr>
            <w:tcW w:w="1147" w:type="dxa"/>
          </w:tcPr>
          <w:p w14:paraId="4834DEBF" w14:textId="55F95AB4" w:rsidR="008156C6" w:rsidRPr="00214057" w:rsidRDefault="008156C6" w:rsidP="008156C6">
            <w:pPr>
              <w:pStyle w:val="MDPI42tablebody"/>
              <w:cnfStyle w:val="000000000000" w:firstRow="0" w:lastRow="0" w:firstColumn="0" w:lastColumn="0" w:oddVBand="0" w:evenVBand="0" w:oddHBand="0" w:evenHBand="0" w:firstRowFirstColumn="0" w:firstRowLastColumn="0" w:lastRowFirstColumn="0" w:lastRowLastColumn="0"/>
              <w:rPr>
                <w:highlight w:val="yellow"/>
                <w:lang w:val="en-US"/>
              </w:rPr>
            </w:pPr>
            <w:r w:rsidRPr="00214057">
              <w:rPr>
                <w:highlight w:val="yellow"/>
                <w:lang w:val="en-US"/>
              </w:rPr>
              <w:t>4.242</w:t>
            </w:r>
          </w:p>
        </w:tc>
      </w:tr>
      <w:tr w:rsidR="008156C6" w:rsidRPr="00F51A4C" w14:paraId="4C610EB2" w14:textId="2F521B8E" w:rsidTr="008156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1" w:type="dxa"/>
          </w:tcPr>
          <w:p w14:paraId="49981A0B" w14:textId="3D23D725" w:rsidR="008156C6" w:rsidRPr="00214057" w:rsidRDefault="008156C6" w:rsidP="002D146A">
            <w:pPr>
              <w:pStyle w:val="MDPI42tablebody"/>
              <w:rPr>
                <w:highlight w:val="yellow"/>
                <w:lang w:val="en-US"/>
              </w:rPr>
            </w:pPr>
            <w:r w:rsidRPr="00214057">
              <w:rPr>
                <w:highlight w:val="yellow"/>
                <w:lang w:val="en-US"/>
              </w:rPr>
              <w:t>Na</w:t>
            </w:r>
            <w:r w:rsidRPr="00214057">
              <w:rPr>
                <w:highlight w:val="yellow"/>
                <w:vertAlign w:val="subscript"/>
                <w:lang w:val="en-US"/>
              </w:rPr>
              <w:t>2</w:t>
            </w:r>
            <w:r w:rsidRPr="00214057">
              <w:rPr>
                <w:highlight w:val="yellow"/>
                <w:lang w:val="en-US"/>
              </w:rPr>
              <w:t>SO</w:t>
            </w:r>
            <w:r w:rsidRPr="00214057">
              <w:rPr>
                <w:highlight w:val="yellow"/>
                <w:vertAlign w:val="subscript"/>
                <w:lang w:val="en-US"/>
              </w:rPr>
              <w:t>4</w:t>
            </w:r>
          </w:p>
        </w:tc>
        <w:tc>
          <w:tcPr>
            <w:tcW w:w="1210" w:type="dxa"/>
          </w:tcPr>
          <w:p w14:paraId="6B2C016B" w14:textId="313CBB8C"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55.79</w:t>
            </w:r>
          </w:p>
        </w:tc>
        <w:tc>
          <w:tcPr>
            <w:tcW w:w="1209" w:type="dxa"/>
          </w:tcPr>
          <w:p w14:paraId="123F5584" w14:textId="04BD9299"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25.29</w:t>
            </w:r>
          </w:p>
        </w:tc>
        <w:tc>
          <w:tcPr>
            <w:tcW w:w="1513" w:type="dxa"/>
          </w:tcPr>
          <w:p w14:paraId="22C0754F" w14:textId="1A241FB9"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13.10</w:t>
            </w:r>
          </w:p>
        </w:tc>
        <w:tc>
          <w:tcPr>
            <w:tcW w:w="1147" w:type="dxa"/>
          </w:tcPr>
          <w:p w14:paraId="3050BFFF" w14:textId="01012B97"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4.172</w:t>
            </w:r>
          </w:p>
        </w:tc>
        <w:tc>
          <w:tcPr>
            <w:tcW w:w="1147" w:type="dxa"/>
          </w:tcPr>
          <w:p w14:paraId="7BF7EC13" w14:textId="3DEDF821" w:rsidR="008156C6" w:rsidRPr="00214057" w:rsidRDefault="008156C6" w:rsidP="002D146A">
            <w:pPr>
              <w:pStyle w:val="MDPI42tablebody"/>
              <w:cnfStyle w:val="000000100000" w:firstRow="0" w:lastRow="0" w:firstColumn="0" w:lastColumn="0" w:oddVBand="0" w:evenVBand="0" w:oddHBand="1" w:evenHBand="0" w:firstRowFirstColumn="0" w:firstRowLastColumn="0" w:lastRowFirstColumn="0" w:lastRowLastColumn="0"/>
              <w:rPr>
                <w:highlight w:val="yellow"/>
                <w:lang w:val="en-US"/>
              </w:rPr>
            </w:pPr>
            <w:r w:rsidRPr="00214057">
              <w:rPr>
                <w:highlight w:val="yellow"/>
                <w:lang w:val="en-US"/>
              </w:rPr>
              <w:t>2.590</w:t>
            </w:r>
          </w:p>
        </w:tc>
      </w:tr>
    </w:tbl>
    <w:p w14:paraId="0F19D168" w14:textId="77777777" w:rsidR="008156C6" w:rsidRPr="00F51A4C" w:rsidRDefault="008156C6" w:rsidP="00CF77B4">
      <w:pPr>
        <w:pStyle w:val="MDPI51figurecaption"/>
      </w:pPr>
    </w:p>
    <w:p w14:paraId="6C8BAAD3" w14:textId="77777777" w:rsidR="0029111A" w:rsidRPr="00F51A4C" w:rsidRDefault="0029111A" w:rsidP="0029111A">
      <w:pPr>
        <w:pStyle w:val="MDPI22heading2"/>
        <w:rPr>
          <w:lang w:val="en-GB"/>
        </w:rPr>
      </w:pPr>
      <w:r w:rsidRPr="00F51A4C">
        <w:rPr>
          <w:lang w:val="en-GB"/>
        </w:rPr>
        <w:t>3.3 Energy and Power density calculations</w:t>
      </w:r>
    </w:p>
    <w:p w14:paraId="4525444F" w14:textId="77777777" w:rsidR="0029111A" w:rsidRPr="00F51A4C" w:rsidRDefault="0029111A" w:rsidP="0029111A">
      <w:pPr>
        <w:pStyle w:val="MDPI31text"/>
      </w:pPr>
      <w:r w:rsidRPr="00F51A4C">
        <w:rPr>
          <w:lang w:val="en-GB"/>
        </w:rPr>
        <w:tab/>
      </w:r>
      <w:r w:rsidRPr="00F51A4C">
        <w:t xml:space="preserve">Energy and power density values present a relevant form to cross and compare data between different energy storage devices, especially through the </w:t>
      </w:r>
      <w:proofErr w:type="spellStart"/>
      <w:r w:rsidRPr="00F51A4C">
        <w:t>Ragone</w:t>
      </w:r>
      <w:proofErr w:type="spellEnd"/>
      <w:r w:rsidRPr="00F51A4C">
        <w:t xml:space="preserve"> plot (Figure 5D), which are composed </w:t>
      </w:r>
      <w:r>
        <w:t>of</w:t>
      </w:r>
      <w:r w:rsidRPr="00F51A4C">
        <w:t xml:space="preserve"> specific power (SP) and specific energy (SE) magnitudes. Therefore, the </w:t>
      </w:r>
      <w:proofErr w:type="spellStart"/>
      <w:r w:rsidRPr="00F51A4C">
        <w:t>Ragone</w:t>
      </w:r>
      <w:proofErr w:type="spellEnd"/>
      <w:r w:rsidRPr="00F51A4C">
        <w:t xml:space="preserve"> graphic was plotted by utilizing two equations, one for the device</w:t>
      </w:r>
      <w:r>
        <w:t>-</w:t>
      </w:r>
      <w:r w:rsidRPr="00F51A4C">
        <w:t xml:space="preserve">specific energy (SE, Equation 2.)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F51A4C" w14:paraId="57E8974F" w14:textId="77777777" w:rsidTr="008025C7">
        <w:tc>
          <w:tcPr>
            <w:tcW w:w="369" w:type="pct"/>
            <w:vAlign w:val="center"/>
          </w:tcPr>
          <w:p w14:paraId="41BA54A7" w14:textId="77777777" w:rsidR="0029111A" w:rsidRPr="00F51A4C" w:rsidRDefault="0029111A" w:rsidP="0029111A">
            <w:pPr>
              <w:pStyle w:val="MDPI31text"/>
            </w:pPr>
          </w:p>
        </w:tc>
        <w:tc>
          <w:tcPr>
            <w:tcW w:w="4263" w:type="pct"/>
            <w:vAlign w:val="center"/>
          </w:tcPr>
          <w:p w14:paraId="244E6F39" w14:textId="77777777" w:rsidR="0029111A" w:rsidRPr="00F51A4C" w:rsidRDefault="0029111A" w:rsidP="00EC049B">
            <w:pPr>
              <w:pStyle w:val="MDPI39equation"/>
            </w:pPr>
            <m:oMathPara>
              <m:oMath>
                <m:r>
                  <w:rPr>
                    <w:rFonts w:ascii="Cambria Math" w:eastAsia="Cambria Math" w:hAnsi="Cambria Math"/>
                    <w:vertAlign w:val="subscript"/>
                  </w:rPr>
                  <m:t>SE</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r>
                      <m:rPr>
                        <m:sty m:val="p"/>
                      </m:rPr>
                      <w:rPr>
                        <w:rFonts w:ascii="Cambria Math" w:eastAsia="Cambria Math" w:hAnsi="Cambria Math"/>
                      </w:rPr>
                      <m:t xml:space="preserve"> × ∆</m:t>
                    </m:r>
                    <m:r>
                      <w:rPr>
                        <w:rFonts w:ascii="Cambria Math" w:eastAsia="Cambria Math" w:hAnsi="Cambria Math"/>
                      </w:rPr>
                      <m:t>t</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00DAE67" w14:textId="77777777" w:rsidR="0029111A" w:rsidRPr="00F51A4C" w:rsidRDefault="0029111A" w:rsidP="00EC049B">
            <w:pPr>
              <w:pStyle w:val="MDPI39equation"/>
            </w:pPr>
            <w:r w:rsidRPr="00F51A4C">
              <w:t>(2.)</w:t>
            </w:r>
          </w:p>
        </w:tc>
      </w:tr>
    </w:tbl>
    <w:p w14:paraId="11018F23" w14:textId="77777777" w:rsidR="0029111A" w:rsidRPr="00F51A4C" w:rsidRDefault="0029111A" w:rsidP="0029111A">
      <w:pPr>
        <w:pStyle w:val="MDPI31text"/>
      </w:pPr>
      <w:r w:rsidRPr="00F51A4C">
        <w:rPr>
          <w:rFonts w:eastAsiaTheme="minorEastAsia"/>
        </w:rPr>
        <w:t xml:space="preserve">where </w:t>
      </w:r>
      <w:proofErr w:type="spellStart"/>
      <w:r w:rsidRPr="00F51A4C">
        <w:rPr>
          <w:rFonts w:eastAsiaTheme="minorEastAsia"/>
          <w:i/>
          <w:iCs/>
        </w:rPr>
        <w:t>SPe</w:t>
      </w:r>
      <w:proofErr w:type="spellEnd"/>
      <w:r w:rsidRPr="00F51A4C">
        <w:rPr>
          <w:rFonts w:eastAsiaTheme="minorEastAsia"/>
          <w:i/>
          <w:iCs/>
        </w:rPr>
        <w:t xml:space="preserve"> </w:t>
      </w:r>
      <w:r w:rsidRPr="00F51A4C">
        <w:rPr>
          <w:rFonts w:eastAsiaTheme="minorEastAsia"/>
        </w:rPr>
        <w:t xml:space="preserve">is expressed in </w:t>
      </w:r>
      <w:proofErr w:type="spellStart"/>
      <w:r w:rsidRPr="00F51A4C">
        <w:rPr>
          <w:rFonts w:eastAsiaTheme="minorEastAsia"/>
        </w:rPr>
        <w:t>Wh</w:t>
      </w:r>
      <w:proofErr w:type="spellEnd"/>
      <w:r w:rsidRPr="00F51A4C">
        <w:rPr>
          <w:rFonts w:eastAsiaTheme="minorEastAsia"/>
        </w:rPr>
        <w:t xml:space="preserve"> Kg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w:t>
      </w:r>
      <w:r w:rsidRPr="00F51A4C">
        <w:rPr>
          <w:rFonts w:eastAsiaTheme="minorEastAsia"/>
          <w:i/>
          <w:iCs/>
        </w:rPr>
        <w:t>I</w:t>
      </w:r>
      <w:r w:rsidRPr="00F51A4C">
        <w:rPr>
          <w:rFonts w:eastAsiaTheme="minorEastAsia"/>
        </w:rPr>
        <w:t xml:space="preserve"> the PCDs discharge current in A; </w:t>
      </w:r>
      <w:proofErr w:type="spellStart"/>
      <w:r w:rsidRPr="00F51A4C">
        <w:rPr>
          <w:rFonts w:eastAsiaTheme="minorEastAsia"/>
          <w:i/>
          <w:iCs/>
        </w:rPr>
        <w:t>Δt</w:t>
      </w:r>
      <w:proofErr w:type="spellEnd"/>
      <w:r w:rsidRPr="00F51A4C">
        <w:rPr>
          <w:rFonts w:eastAsiaTheme="minorEastAsia"/>
          <w:i/>
          <w:iCs/>
        </w:rPr>
        <w:t xml:space="preserve"> </w:t>
      </w:r>
      <w:r w:rsidRPr="00F51A4C">
        <w:rPr>
          <w:rFonts w:eastAsiaTheme="minorEastAsia"/>
        </w:rPr>
        <w:t xml:space="preserve">the discharge time in seconds (s); </w:t>
      </w:r>
      <w:r w:rsidRPr="00F51A4C">
        <w:rPr>
          <w:rFonts w:eastAsiaTheme="minorEastAsia"/>
          <w:i/>
          <w:iCs/>
        </w:rPr>
        <w:t>m</w:t>
      </w:r>
      <w:r w:rsidRPr="00F51A4C">
        <w:rPr>
          <w:rFonts w:eastAsiaTheme="minorEastAsia"/>
        </w:rPr>
        <w:t xml:space="preserve"> the work</w:t>
      </w:r>
      <w:r>
        <w:rPr>
          <w:rFonts w:eastAsiaTheme="minorEastAsia"/>
        </w:rPr>
        <w:t>ing</w:t>
      </w:r>
      <w:r w:rsidRPr="00F51A4C">
        <w:rPr>
          <w:rFonts w:eastAsiaTheme="minorEastAsia"/>
        </w:rPr>
        <w:t xml:space="preserve"> electrode mass g; </w:t>
      </w:r>
      <w:r w:rsidRPr="00F51A4C">
        <w:rPr>
          <w:rFonts w:eastAsiaTheme="minorEastAsia"/>
          <w:i/>
          <w:iCs/>
        </w:rPr>
        <w:t>ΔV</w:t>
      </w:r>
      <w:r w:rsidRPr="00F51A4C">
        <w:rPr>
          <w:rFonts w:eastAsiaTheme="minorEastAsia"/>
        </w:rPr>
        <w:t xml:space="preserve"> is voltage variation through </w:t>
      </w:r>
      <w:r>
        <w:rPr>
          <w:rFonts w:eastAsiaTheme="minorEastAsia"/>
        </w:rPr>
        <w:t xml:space="preserve">the </w:t>
      </w:r>
      <w:r w:rsidRPr="00F51A4C">
        <w:rPr>
          <w:rFonts w:eastAsiaTheme="minorEastAsia"/>
        </w:rPr>
        <w:t xml:space="preserve">discharge process in V; </w:t>
      </w:r>
      <w:r w:rsidRPr="00F51A4C">
        <w:t>and the other is for its specific power (SP, Equation 3.):</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8704"/>
        <w:gridCol w:w="1209"/>
      </w:tblGrid>
      <w:tr w:rsidR="0029111A" w:rsidRPr="00F51A4C" w14:paraId="06242214" w14:textId="77777777" w:rsidTr="008025C7">
        <w:tc>
          <w:tcPr>
            <w:tcW w:w="369" w:type="pct"/>
            <w:vAlign w:val="center"/>
          </w:tcPr>
          <w:p w14:paraId="03DCF89A" w14:textId="77777777" w:rsidR="0029111A" w:rsidRPr="00F51A4C" w:rsidRDefault="0029111A" w:rsidP="0029111A">
            <w:pPr>
              <w:pStyle w:val="MDPI31text"/>
            </w:pPr>
          </w:p>
        </w:tc>
        <w:tc>
          <w:tcPr>
            <w:tcW w:w="4263" w:type="pct"/>
            <w:vAlign w:val="center"/>
          </w:tcPr>
          <w:p w14:paraId="4F39D8FA" w14:textId="77777777" w:rsidR="0029111A" w:rsidRPr="00F51A4C" w:rsidRDefault="0029111A" w:rsidP="00EC049B">
            <w:pPr>
              <w:pStyle w:val="MDPI39equation"/>
            </w:pPr>
            <m:oMathPara>
              <m:oMath>
                <m:r>
                  <w:rPr>
                    <w:rFonts w:ascii="Cambria Math" w:eastAsia="Cambria Math" w:hAnsi="Cambria Math"/>
                    <w:vertAlign w:val="subscript"/>
                  </w:rPr>
                  <m:t>S</m:t>
                </m:r>
                <m:r>
                  <w:rPr>
                    <w:rFonts w:ascii="Cambria Math" w:eastAsia="Cambria Math" w:hAnsi="Cambria Math"/>
                  </w:rPr>
                  <m:t>P</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Δ</m:t>
                    </m:r>
                    <m:r>
                      <m:rPr>
                        <m:sty m:val="p"/>
                      </m:rPr>
                      <w:rPr>
                        <w:rFonts w:ascii="Cambria Math" w:eastAsia="Cambria Math" w:hAnsi="Cambria Math"/>
                      </w:rPr>
                      <m:t xml:space="preserve"> </m:t>
                    </m:r>
                    <m:r>
                      <w:rPr>
                        <w:rFonts w:ascii="Cambria Math" w:eastAsia="Cambria Math" w:hAnsi="Cambria Math"/>
                      </w:rPr>
                      <m:t>V</m:t>
                    </m:r>
                  </m:num>
                  <m:den>
                    <m:r>
                      <m:rPr>
                        <m:sty m:val="p"/>
                      </m:rPr>
                      <w:rPr>
                        <w:rFonts w:ascii="Cambria Math" w:eastAsia="Cambria Math" w:hAnsi="Cambria Math"/>
                      </w:rPr>
                      <m:t xml:space="preserve">2 × </m:t>
                    </m:r>
                    <m:r>
                      <w:rPr>
                        <w:rFonts w:ascii="Cambria Math" w:eastAsia="Cambria Math" w:hAnsi="Cambria Math"/>
                      </w:rPr>
                      <m:t>m</m:t>
                    </m:r>
                  </m:den>
                </m:f>
              </m:oMath>
            </m:oMathPara>
          </w:p>
        </w:tc>
        <w:tc>
          <w:tcPr>
            <w:tcW w:w="368" w:type="pct"/>
            <w:vAlign w:val="center"/>
          </w:tcPr>
          <w:p w14:paraId="7945CF06" w14:textId="77777777" w:rsidR="0029111A" w:rsidRPr="00F51A4C" w:rsidRDefault="0029111A" w:rsidP="00EC049B">
            <w:pPr>
              <w:pStyle w:val="MDPI39equation"/>
            </w:pPr>
            <w:r w:rsidRPr="00F51A4C">
              <w:t>(3.)</w:t>
            </w:r>
          </w:p>
        </w:tc>
      </w:tr>
    </w:tbl>
    <w:p w14:paraId="333C0759" w14:textId="77777777" w:rsidR="0029111A" w:rsidRPr="00F51A4C" w:rsidRDefault="0029111A" w:rsidP="0029111A">
      <w:pPr>
        <w:pStyle w:val="MDPI31text"/>
        <w:rPr>
          <w:rFonts w:eastAsiaTheme="minorEastAsia"/>
        </w:rPr>
      </w:pPr>
      <w:r w:rsidRPr="00F51A4C">
        <w:rPr>
          <w:rFonts w:eastAsiaTheme="minorEastAsia"/>
        </w:rPr>
        <w:t xml:space="preserve">where </w:t>
      </w:r>
      <w:proofErr w:type="spellStart"/>
      <w:r w:rsidRPr="00F51A4C">
        <w:rPr>
          <w:rFonts w:eastAsiaTheme="minorEastAsia"/>
          <w:i/>
          <w:iCs/>
        </w:rPr>
        <w:t>SPw</w:t>
      </w:r>
      <w:proofErr w:type="spellEnd"/>
      <w:r w:rsidRPr="00F51A4C">
        <w:rPr>
          <w:rFonts w:eastAsiaTheme="minorEastAsia"/>
        </w:rPr>
        <w:t xml:space="preserve"> is in terms of W Kg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The graphic obtained by plotting SP vs SE presents a comparison of the electrode performance </w:t>
      </w:r>
      <w:r>
        <w:rPr>
          <w:rFonts w:eastAsiaTheme="minorEastAsia"/>
        </w:rPr>
        <w:t>in</w:t>
      </w:r>
      <w:r w:rsidRPr="00F51A4C">
        <w:rPr>
          <w:rFonts w:eastAsiaTheme="minorEastAsia"/>
        </w:rPr>
        <w:t xml:space="preserve"> different media, and shows a very interesting behavior between the two axes, especially for the acidic medium, which get closer to a storage device behavior, with high SP per SE.</w:t>
      </w:r>
    </w:p>
    <w:p w14:paraId="20F2B002" w14:textId="77777777" w:rsidR="0029111A" w:rsidRPr="00F51A4C" w:rsidRDefault="0029111A" w:rsidP="0029111A">
      <w:pPr>
        <w:pStyle w:val="MDPI31text"/>
      </w:pPr>
      <w:r w:rsidRPr="00F51A4C">
        <w:t>To better understand the SC behavior of the device, obtained by PCD, the SC values were converted with a different SC formula, which considers the proper time data obtained by PCDs essays, expressed by Equation 4.:</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6FB077A3" w14:textId="77777777" w:rsidTr="008025C7">
        <w:tc>
          <w:tcPr>
            <w:tcW w:w="350" w:type="pct"/>
            <w:vAlign w:val="center"/>
          </w:tcPr>
          <w:p w14:paraId="19570BEE" w14:textId="77777777" w:rsidR="0029111A" w:rsidRPr="00F51A4C" w:rsidRDefault="0029111A" w:rsidP="0029111A">
            <w:pPr>
              <w:pStyle w:val="MDPI31text"/>
            </w:pPr>
          </w:p>
        </w:tc>
        <w:tc>
          <w:tcPr>
            <w:tcW w:w="4050" w:type="pct"/>
            <w:vAlign w:val="center"/>
          </w:tcPr>
          <w:p w14:paraId="3B715CB6" w14:textId="77777777" w:rsidR="0029111A" w:rsidRPr="00F51A4C" w:rsidRDefault="0029111A" w:rsidP="00EC049B">
            <w:pPr>
              <w:pStyle w:val="MDPI39equation"/>
              <w:rPr>
                <w:rFonts w:eastAsiaTheme="minorEastAsia"/>
              </w:rPr>
            </w:pPr>
            <m:oMathPara>
              <m:oMath>
                <m:r>
                  <w:rPr>
                    <w:rFonts w:ascii="Cambria Math" w:eastAsia="Cambria Math" w:hAnsi="Cambria Math"/>
                    <w:vertAlign w:val="subscript"/>
                  </w:rPr>
                  <m:t>S</m:t>
                </m:r>
                <m:r>
                  <w:rPr>
                    <w:rFonts w:ascii="Cambria Math" w:eastAsia="Cambria Math" w:hAnsi="Cambria Math"/>
                  </w:rPr>
                  <m:t>C</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r>
                      <m:rPr>
                        <m:sty m:val="p"/>
                      </m:rPr>
                      <w:rPr>
                        <w:rFonts w:ascii="Cambria Math" w:eastAsia="Cambria Math" w:hAnsi="Cambria Math"/>
                      </w:rPr>
                      <m:t xml:space="preserve"> × ∆</m:t>
                    </m:r>
                    <m:r>
                      <w:rPr>
                        <w:rFonts w:ascii="Cambria Math" w:eastAsia="Cambria Math" w:hAnsi="Cambria Math"/>
                      </w:rPr>
                      <m:t>t</m:t>
                    </m:r>
                  </m:num>
                  <m:den>
                    <m:r>
                      <w:rPr>
                        <w:rFonts w:ascii="Cambria Math" w:eastAsia="Cambria Math" w:hAnsi="Cambria Math"/>
                      </w:rPr>
                      <m:t>m</m:t>
                    </m:r>
                    <m:r>
                      <m:rPr>
                        <m:sty m:val="p"/>
                      </m:rPr>
                      <w:rPr>
                        <w:rFonts w:ascii="Cambria Math" w:eastAsia="Cambria Math" w:hAnsi="Cambria Math"/>
                      </w:rPr>
                      <m:t>×∆</m:t>
                    </m:r>
                    <m:r>
                      <w:rPr>
                        <w:rFonts w:ascii="Cambria Math" w:eastAsia="Cambria Math" w:hAnsi="Cambria Math"/>
                      </w:rPr>
                      <m:t>V</m:t>
                    </m:r>
                  </m:den>
                </m:f>
              </m:oMath>
            </m:oMathPara>
          </w:p>
        </w:tc>
        <w:tc>
          <w:tcPr>
            <w:tcW w:w="350" w:type="pct"/>
            <w:vAlign w:val="center"/>
          </w:tcPr>
          <w:p w14:paraId="06FE9540" w14:textId="36A49FB8" w:rsidR="0029111A" w:rsidRPr="00F51A4C" w:rsidRDefault="00EC049B" w:rsidP="00EC049B">
            <w:pPr>
              <w:pStyle w:val="MDPI39equation"/>
            </w:pPr>
            <w:r>
              <w:t>(</w:t>
            </w:r>
            <w:r w:rsidR="0029111A" w:rsidRPr="00F51A4C">
              <w:t>4.</w:t>
            </w:r>
            <w:r>
              <w:t>)</w:t>
            </w:r>
          </w:p>
        </w:tc>
      </w:tr>
    </w:tbl>
    <w:p w14:paraId="5FEA9BAD" w14:textId="77777777" w:rsidR="0029111A" w:rsidRPr="00F51A4C" w:rsidRDefault="0029111A" w:rsidP="0029111A">
      <w:pPr>
        <w:pStyle w:val="MDPI31text"/>
        <w:rPr>
          <w:rFonts w:eastAsiaTheme="minorEastAsia"/>
        </w:rPr>
      </w:pPr>
      <w:r w:rsidRPr="00F51A4C">
        <w:rPr>
          <w:rFonts w:eastAsiaTheme="minorEastAsia"/>
        </w:rPr>
        <w:t xml:space="preserve">where </w:t>
      </w:r>
      <w:r w:rsidRPr="00F51A4C">
        <w:rPr>
          <w:rFonts w:eastAsiaTheme="minorEastAsia"/>
          <w:i/>
          <w:iCs/>
        </w:rPr>
        <w:t xml:space="preserve">SC </w:t>
      </w:r>
      <w:r w:rsidRPr="00F51A4C">
        <w:rPr>
          <w:rFonts w:eastAsiaTheme="minorEastAsia"/>
        </w:rPr>
        <w:t>is the PCD SC in terms of F g</w:t>
      </w:r>
      <w:r w:rsidRPr="00F51A4C">
        <w:rPr>
          <w:rFonts w:ascii="Symbol" w:eastAsiaTheme="minorEastAsia" w:hAnsi="Symbol"/>
          <w:vertAlign w:val="superscript"/>
        </w:rPr>
        <w:t>-</w:t>
      </w:r>
      <w:r w:rsidRPr="00F51A4C">
        <w:rPr>
          <w:rFonts w:eastAsiaTheme="minorEastAsia"/>
          <w:vertAlign w:val="superscript"/>
        </w:rPr>
        <w:t>1</w:t>
      </w:r>
      <w:r w:rsidRPr="00F51A4C">
        <w:rPr>
          <w:rFonts w:eastAsiaTheme="minorEastAsia"/>
        </w:rPr>
        <w:t xml:space="preserve">; </w:t>
      </w:r>
      <w:r w:rsidRPr="00F51A4C">
        <w:rPr>
          <w:rFonts w:eastAsiaTheme="minorEastAsia"/>
          <w:i/>
          <w:iCs/>
        </w:rPr>
        <w:t xml:space="preserve">I </w:t>
      </w:r>
      <w:r w:rsidRPr="00F51A4C">
        <w:rPr>
          <w:rFonts w:eastAsiaTheme="minorEastAsia"/>
        </w:rPr>
        <w:t xml:space="preserve">is the applied current in terms of A; </w:t>
      </w:r>
      <w:proofErr w:type="spellStart"/>
      <w:r w:rsidRPr="00F51A4C">
        <w:rPr>
          <w:rFonts w:eastAsiaTheme="minorEastAsia"/>
          <w:i/>
          <w:iCs/>
        </w:rPr>
        <w:t>Δt</w:t>
      </w:r>
      <w:proofErr w:type="spellEnd"/>
      <w:r w:rsidRPr="00F51A4C">
        <w:rPr>
          <w:rFonts w:eastAsiaTheme="minorEastAsia"/>
          <w:i/>
          <w:iCs/>
        </w:rPr>
        <w:t xml:space="preserve"> </w:t>
      </w:r>
      <w:r w:rsidRPr="00F51A4C">
        <w:rPr>
          <w:rFonts w:eastAsiaTheme="minorEastAsia"/>
        </w:rPr>
        <w:t xml:space="preserve">the discharge time (s); </w:t>
      </w:r>
      <w:r w:rsidRPr="00F51A4C">
        <w:rPr>
          <w:rFonts w:eastAsiaTheme="minorEastAsia"/>
          <w:i/>
          <w:iCs/>
        </w:rPr>
        <w:t>m</w:t>
      </w:r>
      <w:r w:rsidRPr="00F51A4C">
        <w:rPr>
          <w:rFonts w:eastAsiaTheme="minorEastAsia"/>
        </w:rPr>
        <w:t xml:space="preserve"> the work electrode mass (g); and </w:t>
      </w:r>
      <w:r w:rsidRPr="00F51A4C">
        <w:rPr>
          <w:rFonts w:eastAsiaTheme="minorEastAsia"/>
          <w:i/>
          <w:iCs/>
        </w:rPr>
        <w:t>ΔV</w:t>
      </w:r>
      <w:r w:rsidRPr="00F51A4C">
        <w:rPr>
          <w:rFonts w:eastAsiaTheme="minorEastAsia"/>
        </w:rPr>
        <w:t xml:space="preserve"> is the voltage variation through </w:t>
      </w:r>
      <w:r>
        <w:rPr>
          <w:rFonts w:eastAsiaTheme="minorEastAsia"/>
        </w:rPr>
        <w:t xml:space="preserve">the </w:t>
      </w:r>
      <w:r w:rsidRPr="00F51A4C">
        <w:rPr>
          <w:rFonts w:eastAsiaTheme="minorEastAsia"/>
        </w:rPr>
        <w:t>discharge process in V. Herewith, the SC calculated values were plotted against the previously chosen CD values, for each electrolyte studied, as can be seen at Figure 5E.</w:t>
      </w:r>
    </w:p>
    <w:p w14:paraId="4663389A" w14:textId="77777777" w:rsidR="0029111A" w:rsidRPr="00F51A4C" w:rsidRDefault="0029111A" w:rsidP="0029111A">
      <w:pPr>
        <w:pStyle w:val="MDPI31text"/>
      </w:pPr>
      <w:r w:rsidRPr="00F51A4C">
        <w:tab/>
        <w:t xml:space="preserve"> At low CD values, the saline and alkaline electrolytes presented higher SC values than the acidic one</w:t>
      </w:r>
      <w:r>
        <w:t>s</w:t>
      </w:r>
      <w:r w:rsidRPr="00F51A4C">
        <w:t>. Although, with the CD increase</w:t>
      </w:r>
      <w:ins w:id="4" w:author="Luiz Orzari" w:date="2021-11-09T16:49:00Z">
        <w:r w:rsidRPr="00F51A4C">
          <w:t>,</w:t>
        </w:r>
      </w:ins>
      <w:r w:rsidRPr="00F51A4C">
        <w:t xml:space="preserve"> this tendency decays and, in general, </w:t>
      </w:r>
      <w:r w:rsidRPr="00F51A4C">
        <w:lastRenderedPageBreak/>
        <w:t>the acidic medium presented more stability throughout the SC variation. This behavior shows an interesting feature that justifies a supercapacitor-like performance, in sulfuric acid, especially because of its flat and stable PCD profile.</w:t>
      </w:r>
    </w:p>
    <w:p w14:paraId="677F5657" w14:textId="77777777" w:rsidR="0029111A" w:rsidRPr="00F51A4C" w:rsidRDefault="0029111A" w:rsidP="0029111A">
      <w:pPr>
        <w:pStyle w:val="MDPI31text"/>
        <w:rPr>
          <w:rFonts w:eastAsiaTheme="minorEastAsia"/>
        </w:rPr>
      </w:pPr>
      <w:r w:rsidRPr="00F51A4C">
        <w:rPr>
          <w:rFonts w:eastAsiaTheme="minorEastAsia"/>
        </w:rPr>
        <w:t xml:space="preserve">Figure 5F shows the device efficiency plot in </w:t>
      </w:r>
      <w:r>
        <w:rPr>
          <w:rFonts w:eastAsiaTheme="minorEastAsia"/>
        </w:rPr>
        <w:t xml:space="preserve">the </w:t>
      </w:r>
      <w:r w:rsidRPr="00F51A4C">
        <w:rPr>
          <w:rFonts w:eastAsiaTheme="minorEastAsia"/>
        </w:rPr>
        <w:t>function of the selected different current densities, 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
        <w:gridCol w:w="8705"/>
        <w:gridCol w:w="1209"/>
      </w:tblGrid>
      <w:tr w:rsidR="0029111A" w:rsidRPr="00F51A4C" w14:paraId="02CA1359" w14:textId="77777777" w:rsidTr="008025C7">
        <w:tc>
          <w:tcPr>
            <w:tcW w:w="350" w:type="pct"/>
            <w:vAlign w:val="center"/>
          </w:tcPr>
          <w:p w14:paraId="1B20451D" w14:textId="77777777" w:rsidR="0029111A" w:rsidRPr="00F51A4C" w:rsidRDefault="0029111A" w:rsidP="0029111A">
            <w:pPr>
              <w:pStyle w:val="MDPI31text"/>
            </w:pPr>
          </w:p>
        </w:tc>
        <w:tc>
          <w:tcPr>
            <w:tcW w:w="4050" w:type="pct"/>
            <w:vAlign w:val="center"/>
          </w:tcPr>
          <w:p w14:paraId="40082687" w14:textId="77777777" w:rsidR="0029111A" w:rsidRPr="00F51A4C" w:rsidRDefault="0029111A" w:rsidP="00EC049B">
            <w:pPr>
              <w:pStyle w:val="MDPI39equation"/>
              <w:rPr>
                <w:rFonts w:eastAsiaTheme="minorEastAsia"/>
              </w:rPr>
            </w:pPr>
            <m:oMathPara>
              <m:oMath>
                <m:r>
                  <w:rPr>
                    <w:rFonts w:ascii="Cambria Math" w:eastAsia="Cambria Math" w:hAnsi="Cambria Math"/>
                    <w:vertAlign w:val="subscript"/>
                  </w:rPr>
                  <m:t>n</m:t>
                </m:r>
                <m:r>
                  <m:rPr>
                    <m:sty m:val="p"/>
                  </m:rP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Dt</m:t>
                    </m:r>
                  </m:num>
                  <m:den>
                    <m:r>
                      <w:rPr>
                        <w:rFonts w:ascii="Cambria Math" w:eastAsia="Cambria Math" w:hAnsi="Cambria Math"/>
                      </w:rPr>
                      <m:t>Ct</m:t>
                    </m:r>
                  </m:den>
                </m:f>
              </m:oMath>
            </m:oMathPara>
          </w:p>
        </w:tc>
        <w:tc>
          <w:tcPr>
            <w:tcW w:w="350" w:type="pct"/>
            <w:vAlign w:val="center"/>
          </w:tcPr>
          <w:p w14:paraId="13BADD57" w14:textId="089FC56A" w:rsidR="0029111A" w:rsidRPr="00F51A4C" w:rsidRDefault="00EC049B" w:rsidP="00EC049B">
            <w:pPr>
              <w:pStyle w:val="MDPI39equation"/>
            </w:pPr>
            <w:r>
              <w:t>(</w:t>
            </w:r>
            <w:r w:rsidR="0029111A" w:rsidRPr="00F51A4C">
              <w:t>5.</w:t>
            </w:r>
            <w:r>
              <w:t>)</w:t>
            </w:r>
          </w:p>
        </w:tc>
      </w:tr>
    </w:tbl>
    <w:p w14:paraId="1D54EE6A" w14:textId="77777777" w:rsidR="0029111A" w:rsidRPr="00F51A4C" w:rsidRDefault="0029111A" w:rsidP="0029111A">
      <w:pPr>
        <w:pStyle w:val="MDPI31text"/>
        <w:rPr>
          <w:rFonts w:eastAsiaTheme="minorEastAsia"/>
        </w:rPr>
      </w:pPr>
      <w:r w:rsidRPr="00F51A4C">
        <w:rPr>
          <w:rFonts w:eastAsiaTheme="minorEastAsia"/>
        </w:rPr>
        <w:t xml:space="preserve">where </w:t>
      </w:r>
      <w:r w:rsidRPr="00F51A4C">
        <w:rPr>
          <w:rFonts w:eastAsiaTheme="minorEastAsia"/>
          <w:i/>
          <w:iCs/>
        </w:rPr>
        <w:t>n</w:t>
      </w:r>
      <w:r w:rsidRPr="00F51A4C">
        <w:rPr>
          <w:rFonts w:eastAsiaTheme="minorEastAsia"/>
        </w:rPr>
        <w:t xml:space="preserve"> is the estimated efficiency in percentage (%); </w:t>
      </w:r>
      <w:r w:rsidRPr="00F51A4C">
        <w:rPr>
          <w:rFonts w:eastAsiaTheme="minorEastAsia"/>
          <w:i/>
          <w:iCs/>
        </w:rPr>
        <w:t>Dt</w:t>
      </w:r>
      <w:r w:rsidRPr="00F51A4C">
        <w:rPr>
          <w:rFonts w:eastAsiaTheme="minorEastAsia"/>
        </w:rPr>
        <w:t xml:space="preserve"> is the PCD discharge time in seconds (s); and </w:t>
      </w:r>
      <w:r w:rsidRPr="00F51A4C">
        <w:rPr>
          <w:rFonts w:eastAsiaTheme="minorEastAsia"/>
          <w:i/>
          <w:iCs/>
        </w:rPr>
        <w:t>Ct</w:t>
      </w:r>
      <w:r w:rsidRPr="00F51A4C">
        <w:rPr>
          <w:rFonts w:eastAsiaTheme="minorEastAsia"/>
        </w:rPr>
        <w:t>, the PCDs charge time, also in seconds. This plot shows the device efficiency at the selected electrolyte. This is an important indicator to corroborate device performance over a range of current densities. Unlike before, the device present</w:t>
      </w:r>
      <w:r>
        <w:rPr>
          <w:rFonts w:eastAsiaTheme="minorEastAsia"/>
        </w:rPr>
        <w:t>s</w:t>
      </w:r>
      <w:r w:rsidRPr="00F51A4C">
        <w:rPr>
          <w:rFonts w:eastAsiaTheme="minorEastAsia"/>
        </w:rPr>
        <w:t xml:space="preserve"> more stable efficiencies at acidic and alkaline media, but with a considerabl</w:t>
      </w:r>
      <w:r>
        <w:rPr>
          <w:rFonts w:eastAsiaTheme="minorEastAsia"/>
        </w:rPr>
        <w:t>y</w:t>
      </w:r>
      <w:r w:rsidRPr="00F51A4C">
        <w:rPr>
          <w:rFonts w:eastAsiaTheme="minorEastAsia"/>
        </w:rPr>
        <w:t xml:space="preserve"> higher value for the first one. This further justifies </w:t>
      </w:r>
      <w:r>
        <w:rPr>
          <w:rFonts w:eastAsiaTheme="minorEastAsia"/>
        </w:rPr>
        <w:t xml:space="preserve">the </w:t>
      </w:r>
      <w:r w:rsidRPr="00F51A4C">
        <w:rPr>
          <w:rFonts w:eastAsiaTheme="minorEastAsia"/>
        </w:rPr>
        <w:t>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5E4B0B03" w14:textId="77777777" w:rsidR="0029111A" w:rsidRPr="005E54CA" w:rsidRDefault="0029111A" w:rsidP="0029111A">
      <w:pPr>
        <w:pStyle w:val="MDPI22heading2"/>
      </w:pPr>
      <w:r w:rsidRPr="005E54CA">
        <w:t>3.4 Flexibility study</w:t>
      </w:r>
    </w:p>
    <w:p w14:paraId="7FF24CE6" w14:textId="4B6A2CEC" w:rsidR="0029111A" w:rsidRPr="00F51A4C" w:rsidRDefault="0029111A" w:rsidP="0029111A">
      <w:pPr>
        <w:pStyle w:val="MDPI31text"/>
        <w:rPr>
          <w:lang w:val="en-GB"/>
        </w:rPr>
      </w:pPr>
      <w:r w:rsidRPr="005E54CA">
        <w:tab/>
      </w:r>
      <w:r w:rsidRPr="00F51A4C">
        <w:rPr>
          <w:lang w:val="en-GB"/>
        </w:rPr>
        <w:t>Flexibility is, as discussed previously, an important attribute for capacitors and supercapacitors, enabling the production of different and adaptable technologies. To evaluate it, tests were carried out by twisting the electrode and subsequent collecting its response with CV at 50 mV s</w:t>
      </w:r>
      <w:r w:rsidRPr="00F51A4C">
        <w:rPr>
          <w:rFonts w:ascii="Symbol" w:hAnsi="Symbol"/>
          <w:vertAlign w:val="superscript"/>
          <w:lang w:val="en-GB"/>
        </w:rPr>
        <w:t>-</w:t>
      </w:r>
      <w:r w:rsidRPr="00F51A4C">
        <w:rPr>
          <w:vertAlign w:val="superscript"/>
          <w:lang w:val="en-GB"/>
        </w:rPr>
        <w:t>1</w:t>
      </w:r>
      <w:r w:rsidRPr="00F51A4C">
        <w:rPr>
          <w:lang w:val="en-GB"/>
        </w:rPr>
        <w:t xml:space="preserve">, with </w:t>
      </w:r>
      <w:r>
        <w:rPr>
          <w:lang w:val="en-GB"/>
        </w:rPr>
        <w:t xml:space="preserve">a </w:t>
      </w:r>
      <w:r w:rsidRPr="00F51A4C">
        <w:rPr>
          <w:lang w:val="en-GB"/>
        </w:rPr>
        <w:t>torsions interval of 20 torsions, for a total of 200. This process was repeated twice, with different configuration</w:t>
      </w:r>
      <w:r>
        <w:rPr>
          <w:lang w:val="en-GB"/>
        </w:rPr>
        <w:t>s</w:t>
      </w:r>
      <w:r w:rsidRPr="00F51A4C">
        <w:rPr>
          <w:lang w:val="en-GB"/>
        </w:rPr>
        <w:t xml:space="preserve"> for data obtention, one with the device still twisted and the other with the device laid flat, to better understand the effect of such strain in the ink. </w:t>
      </w:r>
      <w:r w:rsidR="006659FB" w:rsidRPr="006659FB">
        <w:rPr>
          <w:highlight w:val="yellow"/>
          <w:lang w:val="en-GB"/>
        </w:rPr>
        <w:t>The voltammograms were recorded in 1.0 mol L</w:t>
      </w:r>
      <w:r w:rsidR="006659FB" w:rsidRPr="006659FB">
        <w:rPr>
          <w:rFonts w:ascii="Symbol" w:hAnsi="Symbol"/>
          <w:highlight w:val="yellow"/>
          <w:vertAlign w:val="superscript"/>
          <w:lang w:val="en-GB"/>
        </w:rPr>
        <w:t>-</w:t>
      </w:r>
      <w:r w:rsidR="006659FB" w:rsidRPr="006659FB">
        <w:rPr>
          <w:highlight w:val="yellow"/>
          <w:vertAlign w:val="superscript"/>
          <w:lang w:val="en-GB"/>
        </w:rPr>
        <w:t>1</w:t>
      </w:r>
      <w:r w:rsidR="006659FB" w:rsidRPr="006659FB">
        <w:rPr>
          <w:highlight w:val="yellow"/>
          <w:lang w:val="en-GB"/>
        </w:rPr>
        <w:t xml:space="preserve"> H</w:t>
      </w:r>
      <w:r w:rsidR="006659FB" w:rsidRPr="006659FB">
        <w:rPr>
          <w:highlight w:val="yellow"/>
          <w:vertAlign w:val="subscript"/>
          <w:lang w:val="en-GB"/>
        </w:rPr>
        <w:t>2</w:t>
      </w:r>
      <w:r w:rsidR="006659FB" w:rsidRPr="006659FB">
        <w:rPr>
          <w:highlight w:val="yellow"/>
          <w:lang w:val="en-GB"/>
        </w:rPr>
        <w:t>SO</w:t>
      </w:r>
      <w:r w:rsidR="006659FB" w:rsidRPr="006659FB">
        <w:rPr>
          <w:highlight w:val="yellow"/>
          <w:vertAlign w:val="subscript"/>
          <w:lang w:val="en-GB"/>
        </w:rPr>
        <w:t>4</w:t>
      </w:r>
      <w:r w:rsidR="006659FB" w:rsidRPr="006659FB">
        <w:rPr>
          <w:highlight w:val="yellow"/>
          <w:lang w:val="en-GB"/>
        </w:rPr>
        <w:t xml:space="preserve"> solution, from </w:t>
      </w:r>
      <w:r w:rsidR="006659FB" w:rsidRPr="006659FB">
        <w:rPr>
          <w:rFonts w:ascii="Symbol" w:hAnsi="Symbol"/>
          <w:highlight w:val="yellow"/>
          <w:lang w:val="en-GB"/>
        </w:rPr>
        <w:t>-</w:t>
      </w:r>
      <w:r w:rsidR="006659FB" w:rsidRPr="006659FB">
        <w:rPr>
          <w:highlight w:val="yellow"/>
          <w:lang w:val="en-GB"/>
        </w:rPr>
        <w:t>0.5 to 0.5 V, and the data was collected at 0.0 V for all torsions</w:t>
      </w:r>
      <w:r w:rsidR="006659FB">
        <w:rPr>
          <w:lang w:val="en-GB"/>
        </w:rPr>
        <w:t xml:space="preserve">. </w:t>
      </w:r>
      <w:r w:rsidRPr="00F51A4C">
        <w:rPr>
          <w:lang w:val="en-GB"/>
        </w:rPr>
        <w:t>As can be seen in Figures 6A and 6B, both obtained profiles presented stable profiles across all cycles, with little difference between the curved and the flat electrode system, as can be noted in Figure 6C. As the PET substrate has a geometrically curved shape, due to the circumference of beverage bottles, the forced flattering of electrodes puts the ink under increased stress, diminishing the current obtained. Besides that, the electrode shows considerable stability under mechanical stress, effectively working as a flexible device.</w:t>
      </w:r>
    </w:p>
    <w:p w14:paraId="0D7D1974" w14:textId="77777777" w:rsidR="0029111A" w:rsidRPr="00F51A4C" w:rsidRDefault="0029111A" w:rsidP="005A2215">
      <w:pPr>
        <w:spacing w:line="360" w:lineRule="auto"/>
        <w:ind w:left="2268"/>
        <w:rPr>
          <w:rFonts w:ascii="Times New Roman" w:hAnsi="Times New Roman"/>
          <w:sz w:val="24"/>
          <w:szCs w:val="24"/>
          <w:lang w:val="en-GB"/>
        </w:rPr>
      </w:pPr>
      <w:r w:rsidRPr="00F51A4C">
        <w:rPr>
          <w:rFonts w:ascii="Times New Roman" w:hAnsi="Times New Roman"/>
          <w:sz w:val="24"/>
          <w:szCs w:val="24"/>
          <w:lang w:val="en-GB"/>
        </w:rPr>
        <w:lastRenderedPageBreak/>
        <w:drawing>
          <wp:inline distT="0" distB="0" distL="0" distR="0" wp14:anchorId="4ECD928E" wp14:editId="3F7C2728">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3464166" w14:textId="77777777" w:rsidR="0029111A" w:rsidRPr="00F51A4C" w:rsidRDefault="0029111A" w:rsidP="00CF77B4">
      <w:pPr>
        <w:pStyle w:val="MDPI51figurecaption"/>
        <w:rPr>
          <w:lang w:val="en-GB"/>
        </w:rPr>
      </w:pPr>
      <w:r w:rsidRPr="00F51A4C">
        <w:rPr>
          <w:b/>
          <w:bCs/>
          <w:lang w:val="en-GB"/>
        </w:rPr>
        <w:t>Figure 6</w:t>
      </w:r>
      <w:r w:rsidRPr="00F51A4C">
        <w:rPr>
          <w:lang w:val="en-GB"/>
        </w:rPr>
        <w:t>. Cyclic voltammograms of the flexibility study at (A) curved device and (B) flat device, in 1.0 mol L</w:t>
      </w:r>
      <w:r w:rsidRPr="00F51A4C">
        <w:rPr>
          <w:rFonts w:ascii="Symbol" w:hAnsi="Symbol"/>
          <w:vertAlign w:val="superscript"/>
          <w:lang w:val="en-GB"/>
        </w:rPr>
        <w:t>-</w:t>
      </w:r>
      <w:r w:rsidRPr="00F51A4C">
        <w:rPr>
          <w:vertAlign w:val="superscript"/>
          <w:lang w:val="en-GB"/>
        </w:rPr>
        <w:t>1</w:t>
      </w:r>
      <w:r w:rsidRPr="00F51A4C">
        <w:rPr>
          <w:lang w:val="en-GB"/>
        </w:rPr>
        <w:t xml:space="preserve"> H</w:t>
      </w:r>
      <w:r w:rsidRPr="00F51A4C">
        <w:rPr>
          <w:vertAlign w:val="subscript"/>
          <w:lang w:val="en-GB"/>
        </w:rPr>
        <w:t>2</w:t>
      </w:r>
      <w:r w:rsidRPr="00F51A4C">
        <w:rPr>
          <w:lang w:val="en-GB"/>
        </w:rPr>
        <w:t>SO</w:t>
      </w:r>
      <w:r w:rsidRPr="00F51A4C">
        <w:rPr>
          <w:vertAlign w:val="subscript"/>
          <w:lang w:val="en-GB"/>
        </w:rPr>
        <w:t>4</w:t>
      </w:r>
      <w:r w:rsidRPr="00F51A4C">
        <w:rPr>
          <w:lang w:val="en-GB"/>
        </w:rPr>
        <w:t xml:space="preserve">; </w:t>
      </w:r>
      <w:r w:rsidRPr="00F51A4C">
        <w:rPr>
          <w:rFonts w:ascii="Symbol" w:hAnsi="Symbol"/>
          <w:lang w:val="en-GB"/>
        </w:rPr>
        <w:t>n</w:t>
      </w:r>
      <w:r w:rsidRPr="00F51A4C">
        <w:rPr>
          <w:lang w:val="en-GB"/>
        </w:rPr>
        <w:t xml:space="preserve"> = 50 mV s</w:t>
      </w:r>
      <w:r w:rsidRPr="00F51A4C">
        <w:rPr>
          <w:rFonts w:ascii="Symbol" w:hAnsi="Symbol"/>
          <w:vertAlign w:val="superscript"/>
          <w:lang w:val="en-GB"/>
        </w:rPr>
        <w:t>-</w:t>
      </w:r>
      <w:r w:rsidRPr="00F51A4C">
        <w:rPr>
          <w:vertAlign w:val="superscript"/>
          <w:lang w:val="en-GB"/>
        </w:rPr>
        <w:t>1</w:t>
      </w:r>
      <w:r w:rsidRPr="00F51A4C">
        <w:rPr>
          <w:lang w:val="en-GB"/>
        </w:rPr>
        <w:t xml:space="preserve">. (C) I </w:t>
      </w:r>
      <w:r w:rsidRPr="00F51A4C">
        <w:rPr>
          <w:i/>
          <w:iCs/>
          <w:lang w:val="en-GB"/>
        </w:rPr>
        <w:t>vs</w:t>
      </w:r>
      <w:r w:rsidRPr="00F51A4C">
        <w:rPr>
          <w:lang w:val="en-GB"/>
        </w:rPr>
        <w:t xml:space="preserve"> </w:t>
      </w:r>
      <w:r>
        <w:rPr>
          <w:lang w:val="en-GB"/>
        </w:rPr>
        <w:t xml:space="preserve">the </w:t>
      </w:r>
      <w:r w:rsidRPr="00F51A4C">
        <w:rPr>
          <w:lang w:val="en-GB"/>
        </w:rPr>
        <w:t>number of torsions dispersion plot for (</w:t>
      </w:r>
      <w:r w:rsidRPr="00F51A4C">
        <w:rPr>
          <w:rFonts w:ascii="Times New Roman" w:hAnsi="Times New Roman"/>
          <w:lang w:val="en-GB"/>
        </w:rPr>
        <w:t>▲</w:t>
      </w:r>
      <w:r w:rsidRPr="00F51A4C">
        <w:rPr>
          <w:lang w:val="en-GB"/>
        </w:rPr>
        <w:t>) curved and (</w:t>
      </w:r>
      <w:r w:rsidRPr="00F51A4C">
        <w:rPr>
          <w:color w:val="FF0000"/>
          <w:lang w:val="en-GB"/>
        </w:rPr>
        <w:t>●</w:t>
      </w:r>
      <w:r w:rsidRPr="00F51A4C">
        <w:rPr>
          <w:lang w:val="en-GB"/>
        </w:rPr>
        <w:t>) flat electrodes. Data collected at 0.0 V</w:t>
      </w:r>
    </w:p>
    <w:p w14:paraId="7AB0BE53" w14:textId="6D822663" w:rsidR="0029111A" w:rsidRPr="00D0071E" w:rsidRDefault="0029111A" w:rsidP="00D0071E">
      <w:pPr>
        <w:pStyle w:val="MDPI31text"/>
      </w:pPr>
      <w:r w:rsidRPr="00F51A4C">
        <w:t>Similar supercapacitors were chosen for comparison with the values of specifics capacitance, power</w:t>
      </w:r>
      <w:r>
        <w:t>,</w:t>
      </w:r>
      <w:r w:rsidRPr="00F51A4C">
        <w:t xml:space="preserve"> and energy, which are comparable to the literature (Table </w:t>
      </w:r>
      <w:r w:rsidR="00A02DBC">
        <w:t>3</w:t>
      </w:r>
      <w:r w:rsidRPr="00F51A4C">
        <w:t xml:space="preserve">). The data collected suggests </w:t>
      </w:r>
      <w:r>
        <w:t xml:space="preserve">the </w:t>
      </w:r>
      <w:r w:rsidRPr="00F51A4C">
        <w:t xml:space="preserve">interesting performance of the developed device in terms of specifics energy and capacitance, implying its use as </w:t>
      </w:r>
      <w:r>
        <w:t xml:space="preserve">an </w:t>
      </w:r>
      <w:r w:rsidRPr="00F51A4C">
        <w:t>energy storage device. The majority of the selected works describe different capacitors, micro-capacitors</w:t>
      </w:r>
      <w:r>
        <w:t>,</w:t>
      </w:r>
      <w:r w:rsidRPr="00F51A4C">
        <w:t xml:space="preserve"> and supercapacitors systems, usually utilizing relative</w:t>
      </w:r>
      <w:r>
        <w:t>ly</w:t>
      </w:r>
      <w:r w:rsidRPr="00F51A4C">
        <w:t xml:space="preserve"> higher-cost materials with complex processes like vapor-liquid-solid chemical vapor deposition </w:t>
      </w:r>
      <w:r w:rsidRPr="00F51A4C">
        <w:fldChar w:fldCharType="begin"/>
      </w:r>
      <w:r w:rsidR="00CE50FD">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fldChar w:fldCharType="separate"/>
      </w:r>
      <w:r w:rsidR="00CE50FD">
        <w:rPr>
          <w:noProof/>
        </w:rPr>
        <w:t>[50]</w:t>
      </w:r>
      <w:r w:rsidRPr="00F51A4C">
        <w:fldChar w:fldCharType="end"/>
      </w:r>
      <w:r w:rsidRPr="00F51A4C">
        <w:t xml:space="preserve">, and hydrogels synthesis </w:t>
      </w:r>
      <w:r w:rsidRPr="00F51A4C">
        <w:fldChar w:fldCharType="begin"/>
      </w:r>
      <w:r w:rsidR="00CE50FD">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fldChar w:fldCharType="separate"/>
      </w:r>
      <w:r w:rsidR="00CE50FD">
        <w:rPr>
          <w:noProof/>
        </w:rPr>
        <w:t>[51]</w:t>
      </w:r>
      <w:r w:rsidRPr="00F51A4C">
        <w:fldChar w:fldCharType="end"/>
      </w:r>
      <w:r w:rsidRPr="00F51A4C">
        <w:t>. On the other hand, the proposed work uses a simple synthesis method, while still employing relatively low cost and ecologically friendly materials.</w:t>
      </w:r>
    </w:p>
    <w:tbl>
      <w:tblPr>
        <w:tblStyle w:val="SimplesTabela2"/>
        <w:tblW w:w="10432" w:type="dxa"/>
        <w:tblInd w:w="142" w:type="dxa"/>
        <w:tblLayout w:type="fixed"/>
        <w:tblLook w:val="04A0" w:firstRow="1" w:lastRow="0" w:firstColumn="1" w:lastColumn="0" w:noHBand="0" w:noVBand="1"/>
      </w:tblPr>
      <w:tblGrid>
        <w:gridCol w:w="1701"/>
        <w:gridCol w:w="1843"/>
        <w:gridCol w:w="1701"/>
        <w:gridCol w:w="1701"/>
        <w:gridCol w:w="1984"/>
        <w:gridCol w:w="1502"/>
      </w:tblGrid>
      <w:tr w:rsidR="0029111A" w:rsidRPr="007141CC" w14:paraId="4B70E4E9" w14:textId="77777777" w:rsidTr="00EC049B">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0432" w:type="dxa"/>
            <w:gridSpan w:val="6"/>
            <w:tcBorders>
              <w:top w:val="nil"/>
            </w:tcBorders>
            <w:vAlign w:val="center"/>
          </w:tcPr>
          <w:p w14:paraId="69826BDD" w14:textId="41A7D85B" w:rsidR="0029111A" w:rsidRPr="00F51A4C" w:rsidRDefault="0029111A" w:rsidP="00D0071E">
            <w:pPr>
              <w:pStyle w:val="MDPI41tablecaption"/>
            </w:pPr>
            <w:proofErr w:type="spellStart"/>
            <w:r w:rsidRPr="00F51A4C">
              <w:t>Table</w:t>
            </w:r>
            <w:proofErr w:type="spellEnd"/>
            <w:r w:rsidRPr="00F51A4C">
              <w:t xml:space="preserve"> </w:t>
            </w:r>
            <w:r w:rsidR="00A02DBC">
              <w:t>3</w:t>
            </w:r>
            <w:r w:rsidRPr="00F51A4C">
              <w:t xml:space="preserve">. </w:t>
            </w:r>
            <w:proofErr w:type="spellStart"/>
            <w:r w:rsidRPr="00D0071E">
              <w:rPr>
                <w:b w:val="0"/>
                <w:bCs w:val="0"/>
              </w:rPr>
              <w:t>Comparison</w:t>
            </w:r>
            <w:proofErr w:type="spellEnd"/>
            <w:r w:rsidRPr="00D0071E">
              <w:rPr>
                <w:b w:val="0"/>
                <w:bCs w:val="0"/>
              </w:rPr>
              <w:t xml:space="preserve"> </w:t>
            </w:r>
            <w:proofErr w:type="spellStart"/>
            <w:r w:rsidRPr="00D0071E">
              <w:rPr>
                <w:b w:val="0"/>
                <w:bCs w:val="0"/>
              </w:rPr>
              <w:t>between</w:t>
            </w:r>
            <w:proofErr w:type="spellEnd"/>
            <w:r w:rsidRPr="00D0071E">
              <w:rPr>
                <w:b w:val="0"/>
                <w:bCs w:val="0"/>
              </w:rPr>
              <w:t xml:space="preserve"> </w:t>
            </w:r>
            <w:proofErr w:type="spellStart"/>
            <w:r w:rsidRPr="00D0071E">
              <w:rPr>
                <w:b w:val="0"/>
                <w:bCs w:val="0"/>
              </w:rPr>
              <w:t>this</w:t>
            </w:r>
            <w:proofErr w:type="spellEnd"/>
            <w:r w:rsidRPr="00D0071E">
              <w:rPr>
                <w:b w:val="0"/>
                <w:bCs w:val="0"/>
              </w:rPr>
              <w:t xml:space="preserve"> </w:t>
            </w:r>
            <w:proofErr w:type="spellStart"/>
            <w:r w:rsidRPr="00D0071E">
              <w:rPr>
                <w:b w:val="0"/>
                <w:bCs w:val="0"/>
              </w:rPr>
              <w:t>work</w:t>
            </w:r>
            <w:proofErr w:type="spellEnd"/>
            <w:r w:rsidRPr="00D0071E">
              <w:rPr>
                <w:b w:val="0"/>
                <w:bCs w:val="0"/>
              </w:rPr>
              <w:t xml:space="preserve"> </w:t>
            </w:r>
            <w:proofErr w:type="spellStart"/>
            <w:r w:rsidRPr="00D0071E">
              <w:rPr>
                <w:b w:val="0"/>
                <w:bCs w:val="0"/>
              </w:rPr>
              <w:t>and</w:t>
            </w:r>
            <w:proofErr w:type="spellEnd"/>
            <w:r w:rsidRPr="00D0071E">
              <w:rPr>
                <w:b w:val="0"/>
                <w:bCs w:val="0"/>
              </w:rPr>
              <w:t xml:space="preserve"> </w:t>
            </w:r>
            <w:proofErr w:type="spellStart"/>
            <w:r w:rsidRPr="00D0071E">
              <w:rPr>
                <w:b w:val="0"/>
                <w:bCs w:val="0"/>
              </w:rPr>
              <w:t>others</w:t>
            </w:r>
            <w:proofErr w:type="spellEnd"/>
            <w:r w:rsidRPr="00D0071E">
              <w:rPr>
                <w:b w:val="0"/>
                <w:bCs w:val="0"/>
              </w:rPr>
              <w:t xml:space="preserve"> </w:t>
            </w:r>
            <w:proofErr w:type="spellStart"/>
            <w:r w:rsidRPr="00D0071E">
              <w:rPr>
                <w:b w:val="0"/>
                <w:bCs w:val="0"/>
              </w:rPr>
              <w:t>present</w:t>
            </w:r>
            <w:proofErr w:type="spellEnd"/>
            <w:r w:rsidRPr="00D0071E">
              <w:rPr>
                <w:b w:val="0"/>
                <w:bCs w:val="0"/>
              </w:rPr>
              <w:t xml:space="preserve"> in </w:t>
            </w:r>
            <w:proofErr w:type="spellStart"/>
            <w:r w:rsidRPr="00D0071E">
              <w:rPr>
                <w:b w:val="0"/>
                <w:bCs w:val="0"/>
              </w:rPr>
              <w:t>literature</w:t>
            </w:r>
            <w:proofErr w:type="spellEnd"/>
            <w:r w:rsidRPr="00D0071E">
              <w:rPr>
                <w:b w:val="0"/>
                <w:bCs w:val="0"/>
              </w:rPr>
              <w:t xml:space="preserve"> for </w:t>
            </w:r>
            <w:proofErr w:type="spellStart"/>
            <w:r w:rsidRPr="00D0071E">
              <w:rPr>
                <w:b w:val="0"/>
                <w:bCs w:val="0"/>
              </w:rPr>
              <w:t>supercapacitor</w:t>
            </w:r>
            <w:proofErr w:type="spellEnd"/>
            <w:r w:rsidRPr="00D0071E">
              <w:rPr>
                <w:b w:val="0"/>
                <w:bCs w:val="0"/>
              </w:rPr>
              <w:t xml:space="preserve"> </w:t>
            </w:r>
            <w:proofErr w:type="spellStart"/>
            <w:r w:rsidRPr="00D0071E">
              <w:rPr>
                <w:b w:val="0"/>
                <w:bCs w:val="0"/>
              </w:rPr>
              <w:t>characteristics</w:t>
            </w:r>
            <w:proofErr w:type="spellEnd"/>
          </w:p>
        </w:tc>
      </w:tr>
      <w:tr w:rsidR="00E36CEF" w:rsidRPr="00F51A4C" w14:paraId="7FD8FCF4"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0AA080" w14:textId="77777777" w:rsidR="0029111A" w:rsidRPr="00F51A4C" w:rsidRDefault="0029111A" w:rsidP="00E36CEF">
            <w:pPr>
              <w:pStyle w:val="MDPI42tablebody"/>
              <w:rPr>
                <w:b w:val="0"/>
                <w:bCs w:val="0"/>
              </w:rPr>
            </w:pPr>
            <w:proofErr w:type="spellStart"/>
            <w:r w:rsidRPr="00F51A4C">
              <w:t>Types</w:t>
            </w:r>
            <w:proofErr w:type="spellEnd"/>
            <w:r w:rsidRPr="00F51A4C">
              <w:t xml:space="preserve"> </w:t>
            </w:r>
            <w:proofErr w:type="spellStart"/>
            <w:r w:rsidRPr="00F51A4C">
              <w:t>of</w:t>
            </w:r>
            <w:proofErr w:type="spellEnd"/>
            <w:r w:rsidRPr="00F51A4C">
              <w:t xml:space="preserve"> </w:t>
            </w:r>
            <w:proofErr w:type="spellStart"/>
            <w:r w:rsidRPr="00F51A4C">
              <w:t>cell</w:t>
            </w:r>
            <w:proofErr w:type="spellEnd"/>
          </w:p>
        </w:tc>
        <w:tc>
          <w:tcPr>
            <w:tcW w:w="1843" w:type="dxa"/>
            <w:vAlign w:val="center"/>
          </w:tcPr>
          <w:p w14:paraId="43BC30E2"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Composition</w:t>
            </w:r>
            <w:proofErr w:type="spellEnd"/>
          </w:p>
        </w:tc>
        <w:tc>
          <w:tcPr>
            <w:tcW w:w="1701" w:type="dxa"/>
            <w:vAlign w:val="center"/>
          </w:tcPr>
          <w:p w14:paraId="25AC148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capacitance</w:t>
            </w:r>
            <w:proofErr w:type="spellEnd"/>
          </w:p>
        </w:tc>
        <w:tc>
          <w:tcPr>
            <w:tcW w:w="1701" w:type="dxa"/>
            <w:vAlign w:val="center"/>
          </w:tcPr>
          <w:p w14:paraId="559C9BB8"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power</w:t>
            </w:r>
            <w:proofErr w:type="spellEnd"/>
          </w:p>
        </w:tc>
        <w:tc>
          <w:tcPr>
            <w:tcW w:w="1984" w:type="dxa"/>
            <w:vAlign w:val="center"/>
          </w:tcPr>
          <w:p w14:paraId="740EB46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Specific</w:t>
            </w:r>
            <w:proofErr w:type="spellEnd"/>
            <w:r w:rsidRPr="00F51A4C">
              <w:t xml:space="preserve"> </w:t>
            </w:r>
            <w:proofErr w:type="spellStart"/>
            <w:r w:rsidRPr="00F51A4C">
              <w:t>energy</w:t>
            </w:r>
            <w:proofErr w:type="spellEnd"/>
          </w:p>
        </w:tc>
        <w:tc>
          <w:tcPr>
            <w:tcW w:w="1502" w:type="dxa"/>
            <w:vAlign w:val="center"/>
          </w:tcPr>
          <w:p w14:paraId="732C26C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Works</w:t>
            </w:r>
          </w:p>
        </w:tc>
      </w:tr>
      <w:tr w:rsidR="00E36CEF" w:rsidRPr="00F51A4C" w14:paraId="5BC716FE" w14:textId="77777777" w:rsidTr="00EC049B">
        <w:trPr>
          <w:trHeight w:val="89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26D1A4C" w14:textId="77777777" w:rsidR="0029111A" w:rsidRPr="00F51A4C" w:rsidRDefault="0029111A" w:rsidP="00E36CEF">
            <w:pPr>
              <w:pStyle w:val="MDPI42tablebody"/>
              <w:rPr>
                <w:i/>
              </w:rPr>
            </w:pPr>
            <w:proofErr w:type="spellStart"/>
            <w:r w:rsidRPr="00F51A4C">
              <w:rPr>
                <w:i/>
              </w:rPr>
              <w:t>Three</w:t>
            </w:r>
            <w:proofErr w:type="spellEnd"/>
            <w:r w:rsidRPr="00F51A4C">
              <w:rPr>
                <w:i/>
              </w:rPr>
              <w:t xml:space="preserve"> </w:t>
            </w:r>
            <w:proofErr w:type="spellStart"/>
            <w:r w:rsidRPr="00F51A4C">
              <w:rPr>
                <w:i/>
              </w:rPr>
              <w:t>electrodes</w:t>
            </w:r>
            <w:proofErr w:type="spellEnd"/>
          </w:p>
        </w:tc>
        <w:tc>
          <w:tcPr>
            <w:tcW w:w="1843" w:type="dxa"/>
            <w:vAlign w:val="center"/>
          </w:tcPr>
          <w:p w14:paraId="6E96A09C"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roofErr w:type="spellStart"/>
            <w:r w:rsidRPr="00F51A4C">
              <w:rPr>
                <w:i/>
              </w:rPr>
              <w:t>Highly</w:t>
            </w:r>
            <w:proofErr w:type="spellEnd"/>
            <w:r w:rsidRPr="00F51A4C">
              <w:rPr>
                <w:i/>
              </w:rPr>
              <w:t xml:space="preserve"> </w:t>
            </w:r>
            <w:proofErr w:type="spellStart"/>
            <w:r w:rsidRPr="00F51A4C">
              <w:rPr>
                <w:i/>
              </w:rPr>
              <w:t>doped</w:t>
            </w:r>
            <w:proofErr w:type="spellEnd"/>
            <w:r w:rsidRPr="00F51A4C">
              <w:rPr>
                <w:i/>
              </w:rPr>
              <w:t xml:space="preserve"> </w:t>
            </w:r>
            <w:proofErr w:type="spellStart"/>
            <w:r w:rsidRPr="00F51A4C">
              <w:rPr>
                <w:i/>
              </w:rPr>
              <w:t>silicon</w:t>
            </w:r>
            <w:proofErr w:type="spellEnd"/>
            <w:r w:rsidRPr="00F51A4C">
              <w:rPr>
                <w:i/>
              </w:rPr>
              <w:t xml:space="preserve"> </w:t>
            </w:r>
            <w:proofErr w:type="spellStart"/>
            <w:r w:rsidRPr="00F51A4C">
              <w:rPr>
                <w:i/>
              </w:rPr>
              <w:t>nanowires</w:t>
            </w:r>
            <w:proofErr w:type="spellEnd"/>
          </w:p>
        </w:tc>
        <w:tc>
          <w:tcPr>
            <w:tcW w:w="1701" w:type="dxa"/>
            <w:vAlign w:val="center"/>
          </w:tcPr>
          <w:p w14:paraId="239C7A0F"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46 µF cm</w:t>
            </w:r>
            <w:r w:rsidRPr="00F51A4C">
              <w:rPr>
                <w:rFonts w:eastAsia="Noto Sans Symbols"/>
                <w:vertAlign w:val="superscript"/>
              </w:rPr>
              <w:t>−</w:t>
            </w:r>
            <w:r w:rsidRPr="00F51A4C">
              <w:rPr>
                <w:vertAlign w:val="superscript"/>
              </w:rPr>
              <w:t>2</w:t>
            </w:r>
          </w:p>
        </w:tc>
        <w:tc>
          <w:tcPr>
            <w:tcW w:w="1701" w:type="dxa"/>
            <w:vAlign w:val="center"/>
          </w:tcPr>
          <w:p w14:paraId="45034ED1"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1.6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984" w:type="dxa"/>
            <w:vAlign w:val="center"/>
          </w:tcPr>
          <w:p w14:paraId="2AF378B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F51A4C">
              <w:t>Not</w:t>
            </w:r>
            <w:proofErr w:type="spellEnd"/>
            <w:r w:rsidRPr="00F51A4C">
              <w:t xml:space="preserve"> </w:t>
            </w:r>
            <w:proofErr w:type="spellStart"/>
            <w:r w:rsidRPr="00F51A4C">
              <w:t>specified</w:t>
            </w:r>
            <w:proofErr w:type="spellEnd"/>
          </w:p>
        </w:tc>
        <w:tc>
          <w:tcPr>
            <w:tcW w:w="1502" w:type="dxa"/>
            <w:vAlign w:val="center"/>
          </w:tcPr>
          <w:p w14:paraId="596A3D86" w14:textId="0F5313A5"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&lt;EndNote&gt;&lt;Cite&gt;&lt;Author&gt;Thissandier&lt;/Author&gt;&lt;Year&gt;2012&lt;/Year&gt;&lt;RecNum&gt;679&lt;/RecNum&gt;&lt;DisplayText&gt;[50]&lt;/DisplayText&gt;&lt;record&gt;&lt;rec-number&gt;679&lt;/rec-number&gt;&lt;foreign-keys&gt;&lt;key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fldChar w:fldCharType="separate"/>
            </w:r>
            <w:r w:rsidR="00CE50FD">
              <w:rPr>
                <w:noProof/>
              </w:rPr>
              <w:t>[50]</w:t>
            </w:r>
            <w:r w:rsidRPr="00F51A4C">
              <w:fldChar w:fldCharType="end"/>
            </w:r>
          </w:p>
        </w:tc>
      </w:tr>
      <w:tr w:rsidR="00E36CEF" w:rsidRPr="00F51A4C" w14:paraId="1F4C1707" w14:textId="77777777" w:rsidTr="00EC049B">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FC9FBE4"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02D15012"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rPr>
              <w:t>N-</w:t>
            </w:r>
            <w:proofErr w:type="spellStart"/>
            <w:r w:rsidRPr="00F51A4C">
              <w:rPr>
                <w:i/>
              </w:rPr>
              <w:t>doped</w:t>
            </w:r>
            <w:proofErr w:type="spellEnd"/>
            <w:r w:rsidRPr="00F51A4C">
              <w:rPr>
                <w:i/>
              </w:rPr>
              <w:t xml:space="preserve"> Graphene/PANI </w:t>
            </w:r>
            <w:proofErr w:type="spellStart"/>
            <w:r w:rsidRPr="00F51A4C">
              <w:rPr>
                <w:i/>
              </w:rPr>
              <w:t>hydrogel</w:t>
            </w:r>
            <w:proofErr w:type="spellEnd"/>
          </w:p>
        </w:tc>
        <w:tc>
          <w:tcPr>
            <w:tcW w:w="1701" w:type="dxa"/>
            <w:vAlign w:val="center"/>
          </w:tcPr>
          <w:p w14:paraId="32F967EE"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584.7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2514E17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rPr>
                <w:rFonts w:eastAsia="Noto Sans Symbols"/>
              </w:rPr>
              <w:t>−</w:t>
            </w:r>
            <w:r w:rsidRPr="00F51A4C">
              <w:t xml:space="preserve"> 0.5 mW cm</w:t>
            </w:r>
            <w:r w:rsidRPr="00F51A4C">
              <w:rPr>
                <w:rFonts w:eastAsia="Noto Sans Symbols"/>
                <w:vertAlign w:val="superscript"/>
              </w:rPr>
              <w:t>−</w:t>
            </w:r>
            <w:r w:rsidRPr="00F51A4C">
              <w:rPr>
                <w:vertAlign w:val="superscript"/>
              </w:rPr>
              <w:t>2</w:t>
            </w:r>
          </w:p>
        </w:tc>
        <w:tc>
          <w:tcPr>
            <w:tcW w:w="1984" w:type="dxa"/>
            <w:vAlign w:val="center"/>
          </w:tcPr>
          <w:p w14:paraId="2D197D93"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~0.1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45F33BDB" w14:textId="556FC31B"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&lt;EndNote&gt;&lt;Cite&gt;&lt;Author&gt;Zou&lt;/Author&gt;&lt;Year&gt;2018&lt;/Year&gt;&lt;RecNum&gt;680&lt;/RecNum&gt;&lt;DisplayText&gt;[51]&lt;/DisplayText&gt;&lt;record&gt;&lt;rec-number&gt;680&lt;/rec-number&gt;&lt;foreign-keys&gt;&lt;key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fldChar w:fldCharType="separate"/>
            </w:r>
            <w:r w:rsidR="00CE50FD">
              <w:rPr>
                <w:noProof/>
              </w:rPr>
              <w:t>[51]</w:t>
            </w:r>
            <w:r w:rsidRPr="00F51A4C">
              <w:fldChar w:fldCharType="end"/>
            </w:r>
          </w:p>
        </w:tc>
      </w:tr>
      <w:tr w:rsidR="00E36CEF" w:rsidRPr="00F51A4C" w14:paraId="3E926C3C" w14:textId="77777777" w:rsidTr="00EC049B">
        <w:trPr>
          <w:trHeight w:val="779"/>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451C328C" w14:textId="77777777" w:rsidR="0029111A" w:rsidRPr="00F51A4C" w:rsidRDefault="0029111A" w:rsidP="00E36CEF">
            <w:pPr>
              <w:pStyle w:val="MDPI42tablebody"/>
              <w:rPr>
                <w:i/>
              </w:rPr>
            </w:pPr>
            <w:proofErr w:type="spellStart"/>
            <w:r w:rsidRPr="00F51A4C">
              <w:rPr>
                <w:i/>
              </w:rPr>
              <w:lastRenderedPageBreak/>
              <w:t>Two</w:t>
            </w:r>
            <w:proofErr w:type="spellEnd"/>
            <w:r w:rsidRPr="00F51A4C">
              <w:rPr>
                <w:i/>
              </w:rPr>
              <w:t xml:space="preserve"> </w:t>
            </w:r>
            <w:proofErr w:type="spellStart"/>
            <w:r w:rsidRPr="00F51A4C">
              <w:rPr>
                <w:i/>
              </w:rPr>
              <w:t>electrodes</w:t>
            </w:r>
            <w:proofErr w:type="spellEnd"/>
          </w:p>
        </w:tc>
        <w:tc>
          <w:tcPr>
            <w:tcW w:w="1843" w:type="dxa"/>
            <w:vAlign w:val="center"/>
          </w:tcPr>
          <w:p w14:paraId="65CBF7E1"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PANI-N/CNT</w:t>
            </w:r>
          </w:p>
        </w:tc>
        <w:tc>
          <w:tcPr>
            <w:tcW w:w="1701" w:type="dxa"/>
            <w:vAlign w:val="center"/>
          </w:tcPr>
          <w:p w14:paraId="5CF15677"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vertAlign w:val="superscript"/>
              </w:rPr>
            </w:pPr>
            <w:r w:rsidRPr="00F51A4C">
              <w:t>341.0 F g</w:t>
            </w:r>
            <w:r w:rsidRPr="00F51A4C">
              <w:rPr>
                <w:rFonts w:eastAsia="Noto Sans Symbols"/>
                <w:vertAlign w:val="superscript"/>
              </w:rPr>
              <w:t>−</w:t>
            </w:r>
            <w:r w:rsidRPr="00F51A4C">
              <w:rPr>
                <w:vertAlign w:val="superscript"/>
              </w:rPr>
              <w:t>1</w:t>
            </w:r>
          </w:p>
        </w:tc>
        <w:tc>
          <w:tcPr>
            <w:tcW w:w="1701" w:type="dxa"/>
            <w:vAlign w:val="center"/>
          </w:tcPr>
          <w:p w14:paraId="318F0A5E"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40.0 W kg</w:t>
            </w:r>
            <w:r w:rsidRPr="00F51A4C">
              <w:rPr>
                <w:rFonts w:eastAsia="Noto Sans Symbols"/>
                <w:vertAlign w:val="superscript"/>
              </w:rPr>
              <w:t>−</w:t>
            </w:r>
            <w:r w:rsidRPr="00F51A4C">
              <w:rPr>
                <w:vertAlign w:val="superscript"/>
              </w:rPr>
              <w:t>1</w:t>
            </w:r>
          </w:p>
        </w:tc>
        <w:tc>
          <w:tcPr>
            <w:tcW w:w="1984" w:type="dxa"/>
            <w:vAlign w:val="center"/>
          </w:tcPr>
          <w:p w14:paraId="578D8AA5"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11.5 Wh kg</w:t>
            </w:r>
            <w:r w:rsidRPr="00F51A4C">
              <w:rPr>
                <w:rFonts w:eastAsia="Noto Sans Symbols"/>
                <w:vertAlign w:val="superscript"/>
              </w:rPr>
              <w:t>−</w:t>
            </w:r>
            <w:r w:rsidRPr="00F51A4C">
              <w:rPr>
                <w:vertAlign w:val="superscript"/>
              </w:rPr>
              <w:t>1</w:t>
            </w:r>
          </w:p>
        </w:tc>
        <w:tc>
          <w:tcPr>
            <w:tcW w:w="1502" w:type="dxa"/>
            <w:vAlign w:val="center"/>
          </w:tcPr>
          <w:p w14:paraId="6C0CB541" w14:textId="6639516F"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&lt;EndNote&gt;&lt;Cite&gt;&lt;Author&gt;Zhou&lt;/Author&gt;&lt;Year&gt;2015&lt;/Year&gt;&lt;RecNum&gt;681&lt;/RecNum&gt;&lt;DisplayText&gt;[52]&lt;/DisplayText&gt;&lt;record&gt;&lt;rec-number&gt;681&lt;/rec-number&gt;&lt;foreign-keys&gt;&lt;key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F51A4C">
              <w:fldChar w:fldCharType="separate"/>
            </w:r>
            <w:r w:rsidR="00CE50FD">
              <w:rPr>
                <w:noProof/>
              </w:rPr>
              <w:t>[52]</w:t>
            </w:r>
            <w:r w:rsidRPr="00F51A4C">
              <w:fldChar w:fldCharType="end"/>
            </w:r>
          </w:p>
        </w:tc>
      </w:tr>
      <w:tr w:rsidR="00E36CEF" w:rsidRPr="00F51A4C" w14:paraId="59C89EFA" w14:textId="77777777" w:rsidTr="00EC049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24F09C0"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D35B6F4"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color w:val="2E2E2E"/>
              </w:rPr>
              <w:t>ACTIVATED CARBON-PTFE</w:t>
            </w:r>
          </w:p>
        </w:tc>
        <w:tc>
          <w:tcPr>
            <w:tcW w:w="1701" w:type="dxa"/>
            <w:vAlign w:val="center"/>
          </w:tcPr>
          <w:p w14:paraId="10B8B54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rPr>
                <w:color w:val="2E2E2E"/>
              </w:rPr>
              <w:t>2.1 </w:t>
            </w:r>
            <w:proofErr w:type="spellStart"/>
            <w:r w:rsidRPr="00F51A4C">
              <w:rPr>
                <w:color w:val="2E2E2E"/>
              </w:rPr>
              <w:t>mF</w:t>
            </w:r>
            <w:proofErr w:type="spellEnd"/>
            <w:r w:rsidRPr="00F51A4C">
              <w:rPr>
                <w:color w:val="2E2E2E"/>
              </w:rPr>
              <w:t xml:space="preserve"> cm</w:t>
            </w:r>
            <w:r w:rsidRPr="00F51A4C">
              <w:rPr>
                <w:rFonts w:eastAsia="Noto Sans Symbols"/>
                <w:color w:val="2E2E2E"/>
                <w:vertAlign w:val="superscript"/>
              </w:rPr>
              <w:t>−</w:t>
            </w:r>
            <w:r w:rsidRPr="00F51A4C">
              <w:rPr>
                <w:color w:val="2E2E2E"/>
                <w:vertAlign w:val="superscript"/>
              </w:rPr>
              <w:t>2</w:t>
            </w:r>
          </w:p>
        </w:tc>
        <w:tc>
          <w:tcPr>
            <w:tcW w:w="1701" w:type="dxa"/>
            <w:vAlign w:val="center"/>
          </w:tcPr>
          <w:p w14:paraId="190F9B1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Non</w:t>
            </w:r>
            <w:r>
              <w:t>-</w:t>
            </w:r>
            <w:proofErr w:type="spellStart"/>
            <w:r w:rsidRPr="00F51A4C">
              <w:t>specified</w:t>
            </w:r>
            <w:proofErr w:type="spellEnd"/>
          </w:p>
        </w:tc>
        <w:tc>
          <w:tcPr>
            <w:tcW w:w="1984" w:type="dxa"/>
            <w:vAlign w:val="center"/>
          </w:tcPr>
          <w:p w14:paraId="06BDBEF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Non </w:t>
            </w:r>
            <w:proofErr w:type="spellStart"/>
            <w:r w:rsidRPr="00F51A4C">
              <w:t>specified</w:t>
            </w:r>
            <w:proofErr w:type="spellEnd"/>
          </w:p>
        </w:tc>
        <w:tc>
          <w:tcPr>
            <w:tcW w:w="1502" w:type="dxa"/>
            <w:vAlign w:val="center"/>
          </w:tcPr>
          <w:p w14:paraId="3852C126" w14:textId="1A53770D"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&lt;EndNote&gt;&lt;Cite&gt;&lt;Author&gt;Pech&lt;/Author&gt;&lt;Year&gt;2010&lt;/Year&gt;&lt;RecNum&gt;682&lt;/RecNum&gt;&lt;DisplayText&gt;[23]&lt;/DisplayText&gt;&lt;record&gt;&lt;rec-number&gt;682&lt;/rec-number&gt;&lt;foreign-keys&gt;&lt;key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F51A4C">
              <w:fldChar w:fldCharType="separate"/>
            </w:r>
            <w:r w:rsidR="00CE50FD">
              <w:rPr>
                <w:noProof/>
              </w:rPr>
              <w:t>[23]</w:t>
            </w:r>
            <w:r w:rsidRPr="00F51A4C">
              <w:fldChar w:fldCharType="end"/>
            </w:r>
          </w:p>
        </w:tc>
      </w:tr>
      <w:tr w:rsidR="00E36CEF" w:rsidRPr="00F51A4C" w14:paraId="7D85C42D" w14:textId="77777777" w:rsidTr="00EC049B">
        <w:trPr>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087C44D"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3826B87"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PANI-MLG</w:t>
            </w:r>
          </w:p>
        </w:tc>
        <w:tc>
          <w:tcPr>
            <w:tcW w:w="1701" w:type="dxa"/>
            <w:vAlign w:val="center"/>
          </w:tcPr>
          <w:p w14:paraId="6D6404AA"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110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3113E56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0.15 mW cm</w:t>
            </w:r>
            <w:r w:rsidRPr="00F51A4C">
              <w:rPr>
                <w:rFonts w:eastAsia="Noto Sans Symbols"/>
                <w:vertAlign w:val="superscript"/>
              </w:rPr>
              <w:t>−</w:t>
            </w:r>
            <w:r w:rsidRPr="00F51A4C">
              <w:rPr>
                <w:vertAlign w:val="superscript"/>
              </w:rPr>
              <w:t>2</w:t>
            </w:r>
          </w:p>
        </w:tc>
        <w:tc>
          <w:tcPr>
            <w:tcW w:w="1984" w:type="dxa"/>
            <w:vAlign w:val="center"/>
          </w:tcPr>
          <w:p w14:paraId="635516D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~0.01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525AB95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Pr="00F51A4C">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F51A4C">
              <w:fldChar w:fldCharType="separate"/>
            </w:r>
            <w:r w:rsidRPr="00F51A4C">
              <w:rPr>
                <w:noProof/>
              </w:rPr>
              <w:t>[6]</w:t>
            </w:r>
            <w:r w:rsidRPr="00F51A4C">
              <w:fldChar w:fldCharType="end"/>
            </w:r>
          </w:p>
        </w:tc>
      </w:tr>
      <w:tr w:rsidR="00E36CEF" w:rsidRPr="00F51A4C" w14:paraId="5323B6BA" w14:textId="77777777" w:rsidTr="00EC049B">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FC3F6AD"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6BDAF5EE"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r w:rsidRPr="00F51A4C">
              <w:rPr>
                <w:i/>
              </w:rPr>
              <w:t>PANI/</w:t>
            </w:r>
            <w:proofErr w:type="spellStart"/>
            <w:r w:rsidRPr="00F51A4C">
              <w:rPr>
                <w:i/>
              </w:rPr>
              <w:t>cellulose</w:t>
            </w:r>
            <w:proofErr w:type="spellEnd"/>
            <w:r w:rsidRPr="00F51A4C">
              <w:rPr>
                <w:i/>
              </w:rPr>
              <w:t>/Ag</w:t>
            </w:r>
          </w:p>
        </w:tc>
        <w:tc>
          <w:tcPr>
            <w:tcW w:w="1701" w:type="dxa"/>
            <w:vAlign w:val="center"/>
          </w:tcPr>
          <w:p w14:paraId="4A19964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310.9 F g</w:t>
            </w:r>
            <w:r w:rsidRPr="00F51A4C">
              <w:rPr>
                <w:rFonts w:eastAsia="Noto Sans Symbols"/>
                <w:vertAlign w:val="superscript"/>
              </w:rPr>
              <w:t>−</w:t>
            </w:r>
            <w:r w:rsidRPr="00F51A4C">
              <w:rPr>
                <w:vertAlign w:val="superscript"/>
              </w:rPr>
              <w:t>1</w:t>
            </w:r>
          </w:p>
        </w:tc>
        <w:tc>
          <w:tcPr>
            <w:tcW w:w="1701" w:type="dxa"/>
            <w:vAlign w:val="center"/>
          </w:tcPr>
          <w:p w14:paraId="52A82F7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238.2 W kg</w:t>
            </w:r>
            <w:r w:rsidRPr="00F51A4C">
              <w:rPr>
                <w:rFonts w:eastAsia="Noto Sans Symbols"/>
                <w:vertAlign w:val="superscript"/>
              </w:rPr>
              <w:t>−</w:t>
            </w:r>
            <w:r w:rsidRPr="00F51A4C">
              <w:rPr>
                <w:vertAlign w:val="superscript"/>
              </w:rPr>
              <w:t>1</w:t>
            </w:r>
          </w:p>
        </w:tc>
        <w:tc>
          <w:tcPr>
            <w:tcW w:w="1984" w:type="dxa"/>
            <w:vAlign w:val="center"/>
          </w:tcPr>
          <w:p w14:paraId="1930B44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0.7 Wh kg</w:t>
            </w:r>
            <w:r w:rsidRPr="00F51A4C">
              <w:rPr>
                <w:rFonts w:eastAsia="Noto Sans Symbols"/>
                <w:vertAlign w:val="superscript"/>
              </w:rPr>
              <w:t>−</w:t>
            </w:r>
            <w:r w:rsidRPr="00F51A4C">
              <w:rPr>
                <w:vertAlign w:val="superscript"/>
              </w:rPr>
              <w:t>1</w:t>
            </w:r>
          </w:p>
        </w:tc>
        <w:tc>
          <w:tcPr>
            <w:tcW w:w="1502" w:type="dxa"/>
            <w:vAlign w:val="center"/>
          </w:tcPr>
          <w:p w14:paraId="7C7FEFE9"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Pr="00F51A4C">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F51A4C">
              <w:fldChar w:fldCharType="separate"/>
            </w:r>
            <w:r w:rsidRPr="00F51A4C">
              <w:rPr>
                <w:noProof/>
              </w:rPr>
              <w:t>[13]</w:t>
            </w:r>
            <w:r w:rsidRPr="00F51A4C">
              <w:fldChar w:fldCharType="end"/>
            </w:r>
          </w:p>
        </w:tc>
      </w:tr>
      <w:tr w:rsidR="00E36CEF" w:rsidRPr="00F51A4C" w14:paraId="096FDBB8" w14:textId="77777777" w:rsidTr="00EC049B">
        <w:trPr>
          <w:trHeight w:val="64"/>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C25EBCB"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75D385A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PANI-MLG</w:t>
            </w:r>
          </w:p>
        </w:tc>
        <w:tc>
          <w:tcPr>
            <w:tcW w:w="1701" w:type="dxa"/>
            <w:vAlign w:val="center"/>
          </w:tcPr>
          <w:p w14:paraId="4EBAB59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451.0 F g</w:t>
            </w:r>
            <w:r w:rsidRPr="00F51A4C">
              <w:rPr>
                <w:rFonts w:eastAsia="Noto Sans Symbols"/>
                <w:vertAlign w:val="superscript"/>
              </w:rPr>
              <w:t>−</w:t>
            </w:r>
            <w:r w:rsidRPr="00F51A4C">
              <w:rPr>
                <w:vertAlign w:val="superscript"/>
              </w:rPr>
              <w:t>1</w:t>
            </w:r>
          </w:p>
        </w:tc>
        <w:tc>
          <w:tcPr>
            <w:tcW w:w="1701" w:type="dxa"/>
            <w:vAlign w:val="center"/>
          </w:tcPr>
          <w:p w14:paraId="6BD4AFE0"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3610.0 W kg</w:t>
            </w:r>
            <w:r w:rsidRPr="00F51A4C">
              <w:rPr>
                <w:rFonts w:eastAsia="Noto Sans Symbols"/>
                <w:vertAlign w:val="superscript"/>
              </w:rPr>
              <w:t>−</w:t>
            </w:r>
            <w:r w:rsidRPr="00F51A4C">
              <w:rPr>
                <w:vertAlign w:val="superscript"/>
              </w:rPr>
              <w:t>1</w:t>
            </w:r>
          </w:p>
        </w:tc>
        <w:tc>
          <w:tcPr>
            <w:tcW w:w="1984" w:type="dxa"/>
            <w:vAlign w:val="center"/>
          </w:tcPr>
          <w:p w14:paraId="596C1EA8"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17.0 Wh kg</w:t>
            </w:r>
            <w:r w:rsidRPr="00F51A4C">
              <w:rPr>
                <w:rFonts w:eastAsia="Noto Sans Symbols"/>
                <w:vertAlign w:val="superscript"/>
              </w:rPr>
              <w:t>−</w:t>
            </w:r>
            <w:r w:rsidRPr="00F51A4C">
              <w:rPr>
                <w:vertAlign w:val="superscript"/>
              </w:rPr>
              <w:t>1</w:t>
            </w:r>
          </w:p>
        </w:tc>
        <w:tc>
          <w:tcPr>
            <w:tcW w:w="1502" w:type="dxa"/>
            <w:vAlign w:val="center"/>
          </w:tcPr>
          <w:p w14:paraId="23E0FDA8" w14:textId="42C07E4A"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&lt;EndNote&gt;&lt;Cite&gt;&lt;Author&gt;de Souza Augusto&lt;/Author&gt;&lt;Year&gt;2018&lt;/Year&gt;&lt;RecNum&gt;683&lt;/RecNum&gt;&lt;DisplayText&gt;[53]&lt;/DisplayText&gt;&lt;record&gt;&lt;rec-number&gt;683&lt;/rec-number&gt;&lt;foreign-keys&gt;&lt;key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F51A4C">
              <w:fldChar w:fldCharType="separate"/>
            </w:r>
            <w:r w:rsidR="00CE50FD">
              <w:rPr>
                <w:noProof/>
              </w:rPr>
              <w:t>[53]</w:t>
            </w:r>
            <w:r w:rsidRPr="00F51A4C">
              <w:fldChar w:fldCharType="end"/>
            </w:r>
          </w:p>
        </w:tc>
      </w:tr>
      <w:tr w:rsidR="00E36CEF" w:rsidRPr="00F51A4C" w14:paraId="722BF762"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34CD279" w14:textId="77777777" w:rsidR="0029111A" w:rsidRPr="00F51A4C" w:rsidRDefault="0029111A" w:rsidP="00E36CEF">
            <w:pPr>
              <w:pStyle w:val="MDPI42tablebody"/>
              <w:rPr>
                <w:i/>
              </w:rPr>
            </w:pPr>
            <w:proofErr w:type="spellStart"/>
            <w:r w:rsidRPr="00F51A4C">
              <w:rPr>
                <w:i/>
              </w:rPr>
              <w:t>Three</w:t>
            </w:r>
            <w:proofErr w:type="spellEnd"/>
            <w:r w:rsidRPr="00F51A4C">
              <w:rPr>
                <w:i/>
              </w:rPr>
              <w:t xml:space="preserve"> </w:t>
            </w:r>
            <w:proofErr w:type="spellStart"/>
            <w:r w:rsidRPr="00F51A4C">
              <w:rPr>
                <w:i/>
              </w:rPr>
              <w:t>electrodes</w:t>
            </w:r>
            <w:proofErr w:type="spellEnd"/>
          </w:p>
        </w:tc>
        <w:tc>
          <w:tcPr>
            <w:tcW w:w="1843" w:type="dxa"/>
            <w:vAlign w:val="center"/>
          </w:tcPr>
          <w:p w14:paraId="5533416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F51A4C">
              <w:rPr>
                <w:i/>
              </w:rPr>
              <w:t>Vanadium</w:t>
            </w:r>
            <w:proofErr w:type="spellEnd"/>
            <w:r w:rsidRPr="00F51A4C">
              <w:rPr>
                <w:i/>
              </w:rPr>
              <w:t xml:space="preserve"> </w:t>
            </w:r>
            <w:proofErr w:type="spellStart"/>
            <w:r w:rsidRPr="00F51A4C">
              <w:rPr>
                <w:i/>
              </w:rPr>
              <w:t>nitride</w:t>
            </w:r>
            <w:proofErr w:type="spellEnd"/>
            <w:r w:rsidRPr="00F51A4C">
              <w:rPr>
                <w:i/>
              </w:rPr>
              <w:t xml:space="preserve"> </w:t>
            </w:r>
            <w:proofErr w:type="spellStart"/>
            <w:r w:rsidRPr="00F51A4C">
              <w:rPr>
                <w:i/>
              </w:rPr>
              <w:t>and</w:t>
            </w:r>
            <w:proofErr w:type="spellEnd"/>
            <w:r w:rsidRPr="00F51A4C">
              <w:rPr>
                <w:i/>
              </w:rPr>
              <w:t xml:space="preserve"> </w:t>
            </w:r>
            <w:proofErr w:type="spellStart"/>
            <w:r w:rsidRPr="00F51A4C">
              <w:rPr>
                <w:i/>
              </w:rPr>
              <w:t>nickel</w:t>
            </w:r>
            <w:proofErr w:type="spellEnd"/>
            <w:r w:rsidRPr="00F51A4C">
              <w:rPr>
                <w:i/>
              </w:rPr>
              <w:t xml:space="preserve"> oxide </w:t>
            </w:r>
            <w:proofErr w:type="spellStart"/>
            <w:r w:rsidRPr="00F51A4C">
              <w:rPr>
                <w:i/>
              </w:rPr>
              <w:t>thin</w:t>
            </w:r>
            <w:proofErr w:type="spellEnd"/>
            <w:r w:rsidRPr="00F51A4C">
              <w:rPr>
                <w:i/>
              </w:rPr>
              <w:t xml:space="preserve"> </w:t>
            </w:r>
            <w:proofErr w:type="spellStart"/>
            <w:r w:rsidRPr="00F51A4C">
              <w:rPr>
                <w:i/>
              </w:rPr>
              <w:t>film</w:t>
            </w:r>
            <w:proofErr w:type="spellEnd"/>
          </w:p>
        </w:tc>
        <w:tc>
          <w:tcPr>
            <w:tcW w:w="1701" w:type="dxa"/>
            <w:vAlign w:val="center"/>
          </w:tcPr>
          <w:p w14:paraId="2A5FDC6A"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1.85 </w:t>
            </w:r>
            <w:proofErr w:type="spellStart"/>
            <w:r w:rsidRPr="00F51A4C">
              <w:t>mF</w:t>
            </w:r>
            <w:proofErr w:type="spellEnd"/>
            <w:r w:rsidRPr="00F51A4C">
              <w:t xml:space="preserve"> cm</w:t>
            </w:r>
            <w:r w:rsidRPr="00F51A4C">
              <w:rPr>
                <w:rFonts w:ascii="Symbol" w:hAnsi="Symbol"/>
                <w:vertAlign w:val="superscript"/>
              </w:rPr>
              <w:t>-</w:t>
            </w:r>
            <w:r w:rsidRPr="00F51A4C">
              <w:rPr>
                <w:vertAlign w:val="superscript"/>
              </w:rPr>
              <w:t>2</w:t>
            </w:r>
          </w:p>
        </w:tc>
        <w:tc>
          <w:tcPr>
            <w:tcW w:w="1701" w:type="dxa"/>
            <w:vAlign w:val="center"/>
          </w:tcPr>
          <w:p w14:paraId="3A978E7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28 mW cm</w:t>
            </w:r>
            <w:r w:rsidRPr="00F51A4C">
              <w:rPr>
                <w:rFonts w:ascii="Symbol" w:hAnsi="Symbol"/>
                <w:vertAlign w:val="superscript"/>
              </w:rPr>
              <w:t>-</w:t>
            </w:r>
            <w:r w:rsidRPr="00F51A4C">
              <w:rPr>
                <w:vertAlign w:val="superscript"/>
              </w:rPr>
              <w:t>2</w:t>
            </w:r>
          </w:p>
        </w:tc>
        <w:tc>
          <w:tcPr>
            <w:tcW w:w="1984" w:type="dxa"/>
            <w:vAlign w:val="center"/>
          </w:tcPr>
          <w:p w14:paraId="63427C9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 xml:space="preserve">0.7 </w:t>
            </w:r>
            <w:r w:rsidRPr="00F51A4C">
              <w:rPr>
                <w:rFonts w:ascii="Symbol" w:hAnsi="Symbol"/>
              </w:rPr>
              <w:t>m</w:t>
            </w:r>
            <w:r w:rsidRPr="00F51A4C">
              <w:t>Wh cm</w:t>
            </w:r>
            <w:r w:rsidRPr="00F51A4C">
              <w:rPr>
                <w:rFonts w:ascii="Symbol" w:hAnsi="Symbol"/>
                <w:vertAlign w:val="superscript"/>
              </w:rPr>
              <w:t>-</w:t>
            </w:r>
            <w:r w:rsidRPr="00F51A4C">
              <w:rPr>
                <w:vertAlign w:val="superscript"/>
              </w:rPr>
              <w:t>2</w:t>
            </w:r>
          </w:p>
        </w:tc>
        <w:tc>
          <w:tcPr>
            <w:tcW w:w="1502" w:type="dxa"/>
            <w:vAlign w:val="center"/>
          </w:tcPr>
          <w:p w14:paraId="08B3BB7A" w14:textId="0702D03A"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fldChar w:fldCharType="begin"/>
            </w:r>
            <w:r w:rsidR="00CE50FD">
              <w:instrText xml:space="preserve"> ADDIN EN.CITE &lt;EndNote&gt;&lt;Cite&gt;&lt;Author&gt;Eustache&lt;/Author&gt;&lt;Year&gt;2013&lt;/Year&gt;&lt;RecNum&gt;684&lt;/RecNum&gt;&lt;DisplayText&gt;[54]&lt;/DisplayText&gt;&lt;record&gt;&lt;rec-number&gt;684&lt;/rec-number&gt;&lt;foreign-keys&gt;&lt;key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F51A4C">
              <w:fldChar w:fldCharType="separate"/>
            </w:r>
            <w:r w:rsidR="00CE50FD">
              <w:rPr>
                <w:noProof/>
              </w:rPr>
              <w:t>[54]</w:t>
            </w:r>
            <w:r w:rsidRPr="00F51A4C">
              <w:fldChar w:fldCharType="end"/>
            </w:r>
          </w:p>
        </w:tc>
      </w:tr>
      <w:tr w:rsidR="00E36CEF" w:rsidRPr="00F51A4C" w14:paraId="30AE0571"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1BBE500F" w14:textId="77777777" w:rsidR="0029111A" w:rsidRPr="00F51A4C" w:rsidRDefault="0029111A" w:rsidP="00E36CEF">
            <w:pPr>
              <w:pStyle w:val="MDPI42tablebody"/>
              <w:rPr>
                <w:i/>
              </w:rPr>
            </w:pPr>
            <w:proofErr w:type="spellStart"/>
            <w:r w:rsidRPr="00F51A4C">
              <w:rPr>
                <w:i/>
              </w:rPr>
              <w:t>Two</w:t>
            </w:r>
            <w:proofErr w:type="spellEnd"/>
            <w:r w:rsidRPr="00F51A4C">
              <w:rPr>
                <w:i/>
              </w:rPr>
              <w:t xml:space="preserve"> </w:t>
            </w:r>
            <w:proofErr w:type="spellStart"/>
            <w:r w:rsidRPr="00F51A4C">
              <w:rPr>
                <w:i/>
              </w:rPr>
              <w:t>electrodes</w:t>
            </w:r>
            <w:proofErr w:type="spellEnd"/>
          </w:p>
        </w:tc>
        <w:tc>
          <w:tcPr>
            <w:tcW w:w="1843" w:type="dxa"/>
            <w:vAlign w:val="center"/>
          </w:tcPr>
          <w:p w14:paraId="6F1200D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r w:rsidRPr="00F51A4C">
              <w:rPr>
                <w:i/>
              </w:rPr>
              <w:t>IPCN-</w:t>
            </w:r>
            <w:proofErr w:type="spellStart"/>
            <w:r w:rsidRPr="00F51A4C">
              <w:rPr>
                <w:i/>
              </w:rPr>
              <w:t>alkaline</w:t>
            </w:r>
            <w:proofErr w:type="spellEnd"/>
            <w:r w:rsidRPr="00F51A4C">
              <w:rPr>
                <w:i/>
              </w:rPr>
              <w:t xml:space="preserve"> </w:t>
            </w:r>
            <w:proofErr w:type="spellStart"/>
            <w:r w:rsidRPr="00F51A4C">
              <w:rPr>
                <w:i/>
              </w:rPr>
              <w:t>carbon</w:t>
            </w:r>
            <w:proofErr w:type="spellEnd"/>
            <w:r w:rsidRPr="00F51A4C">
              <w:rPr>
                <w:i/>
              </w:rPr>
              <w:t xml:space="preserve"> metal</w:t>
            </w:r>
          </w:p>
        </w:tc>
        <w:tc>
          <w:tcPr>
            <w:tcW w:w="1701" w:type="dxa"/>
            <w:vAlign w:val="center"/>
          </w:tcPr>
          <w:p w14:paraId="20B69365"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200 F g</w:t>
            </w:r>
            <w:r w:rsidRPr="00F51A4C">
              <w:rPr>
                <w:rFonts w:eastAsia="Noto Sans Symbols"/>
                <w:vertAlign w:val="superscript"/>
              </w:rPr>
              <w:t>−</w:t>
            </w:r>
            <w:r w:rsidRPr="00F51A4C">
              <w:rPr>
                <w:vertAlign w:val="superscript"/>
              </w:rPr>
              <w:t>1</w:t>
            </w:r>
          </w:p>
        </w:tc>
        <w:tc>
          <w:tcPr>
            <w:tcW w:w="1701" w:type="dxa"/>
            <w:vAlign w:val="center"/>
          </w:tcPr>
          <w:p w14:paraId="17413D2C"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Non</w:t>
            </w:r>
            <w:r>
              <w:t>-</w:t>
            </w:r>
            <w:proofErr w:type="spellStart"/>
            <w:r w:rsidRPr="00F51A4C">
              <w:t>specified</w:t>
            </w:r>
            <w:proofErr w:type="spellEnd"/>
          </w:p>
        </w:tc>
        <w:tc>
          <w:tcPr>
            <w:tcW w:w="1984" w:type="dxa"/>
            <w:vAlign w:val="center"/>
          </w:tcPr>
          <w:p w14:paraId="3CD46C4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Non</w:t>
            </w:r>
            <w:r>
              <w:t>-</w:t>
            </w:r>
            <w:proofErr w:type="spellStart"/>
            <w:r w:rsidRPr="00F51A4C">
              <w:t>specified</w:t>
            </w:r>
            <w:proofErr w:type="spellEnd"/>
          </w:p>
        </w:tc>
        <w:tc>
          <w:tcPr>
            <w:tcW w:w="1502" w:type="dxa"/>
            <w:vAlign w:val="center"/>
          </w:tcPr>
          <w:p w14:paraId="3C4B52A3" w14:textId="6B84DE06"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fldChar w:fldCharType="begin"/>
            </w:r>
            <w:r w:rsidR="00CE50FD">
              <w:instrText xml:space="preserve"> ADDIN EN.CITE &lt;EndNote&gt;&lt;Cite&gt;&lt;Author&gt;Lee&lt;/Author&gt;&lt;Year&gt;2018&lt;/Year&gt;&lt;RecNum&gt;685&lt;/RecNum&gt;&lt;DisplayText&gt;[55]&lt;/DisplayText&gt;&lt;record&gt;&lt;rec-number&gt;685&lt;/rec-number&gt;&lt;foreign-keys&gt;&lt;key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F51A4C">
              <w:fldChar w:fldCharType="separate"/>
            </w:r>
            <w:r w:rsidR="00CE50FD">
              <w:rPr>
                <w:noProof/>
              </w:rPr>
              <w:t>[55]</w:t>
            </w:r>
            <w:r w:rsidRPr="00F51A4C">
              <w:fldChar w:fldCharType="end"/>
            </w:r>
          </w:p>
        </w:tc>
      </w:tr>
      <w:tr w:rsidR="00E36CEF" w:rsidRPr="00F51A4C" w14:paraId="61FD3279" w14:textId="77777777" w:rsidTr="00EC04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701" w:type="dxa"/>
            <w:vMerge w:val="restart"/>
            <w:vAlign w:val="center"/>
          </w:tcPr>
          <w:p w14:paraId="1F138BCE" w14:textId="77777777" w:rsidR="0029111A" w:rsidRPr="00F51A4C" w:rsidRDefault="00A51B04" w:rsidP="00E36CEF">
            <w:pPr>
              <w:pStyle w:val="MDPI42tablebody"/>
              <w:rPr>
                <w:i/>
              </w:rPr>
            </w:pPr>
            <w:sdt>
              <w:sdtPr>
                <w:tag w:val="goog_rdk_30"/>
                <w:id w:val="-1872286976"/>
              </w:sdtPr>
              <w:sdtEndPr/>
              <w:sdtContent/>
            </w:sdt>
            <w:sdt>
              <w:sdtPr>
                <w:tag w:val="goog_rdk_31"/>
                <w:id w:val="-162551472"/>
              </w:sdtPr>
              <w:sdtEndPr/>
              <w:sdtContent/>
            </w:sdt>
            <w:r w:rsidR="0029111A" w:rsidRPr="00F51A4C">
              <w:rPr>
                <w:i/>
              </w:rPr>
              <w:t xml:space="preserve"> </w:t>
            </w:r>
            <w:proofErr w:type="spellStart"/>
            <w:r w:rsidR="0029111A" w:rsidRPr="00F51A4C">
              <w:rPr>
                <w:i/>
              </w:rPr>
              <w:t>Three</w:t>
            </w:r>
            <w:proofErr w:type="spellEnd"/>
            <w:r w:rsidR="0029111A" w:rsidRPr="00F51A4C">
              <w:rPr>
                <w:i/>
              </w:rPr>
              <w:t xml:space="preserve"> </w:t>
            </w:r>
            <w:proofErr w:type="spellStart"/>
            <w:r w:rsidR="0029111A" w:rsidRPr="00F51A4C">
              <w:rPr>
                <w:i/>
              </w:rPr>
              <w:t>electrodes</w:t>
            </w:r>
            <w:proofErr w:type="spellEnd"/>
          </w:p>
        </w:tc>
        <w:tc>
          <w:tcPr>
            <w:tcW w:w="1843" w:type="dxa"/>
            <w:vMerge w:val="restart"/>
            <w:vAlign w:val="center"/>
          </w:tcPr>
          <w:p w14:paraId="4BE729D0"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rPr>
                <w:i/>
              </w:rPr>
            </w:pPr>
            <w:proofErr w:type="spellStart"/>
            <w:r w:rsidRPr="00F51A4C">
              <w:rPr>
                <w:i/>
              </w:rPr>
              <w:t>Carbon</w:t>
            </w:r>
            <w:proofErr w:type="spellEnd"/>
            <w:r w:rsidRPr="00F51A4C">
              <w:rPr>
                <w:i/>
              </w:rPr>
              <w:t xml:space="preserve"> Black- </w:t>
            </w:r>
            <w:proofErr w:type="spellStart"/>
            <w:r w:rsidRPr="00F51A4C">
              <w:rPr>
                <w:i/>
              </w:rPr>
              <w:t>cellulose</w:t>
            </w:r>
            <w:proofErr w:type="spellEnd"/>
            <w:r w:rsidRPr="00F51A4C">
              <w:rPr>
                <w:i/>
              </w:rPr>
              <w:t xml:space="preserve"> </w:t>
            </w:r>
            <w:proofErr w:type="spellStart"/>
            <w:r w:rsidRPr="00F51A4C">
              <w:rPr>
                <w:i/>
              </w:rPr>
              <w:t>acetate</w:t>
            </w:r>
            <w:proofErr w:type="spellEnd"/>
          </w:p>
        </w:tc>
        <w:tc>
          <w:tcPr>
            <w:tcW w:w="1701" w:type="dxa"/>
            <w:vAlign w:val="center"/>
          </w:tcPr>
          <w:p w14:paraId="7E3BF171"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313.53 F g</w:t>
            </w:r>
            <w:r w:rsidRPr="00F51A4C">
              <w:rPr>
                <w:rFonts w:eastAsia="Noto Sans Symbols"/>
                <w:vertAlign w:val="superscript"/>
              </w:rPr>
              <w:t>−</w:t>
            </w:r>
            <w:r w:rsidRPr="00F51A4C">
              <w:rPr>
                <w:vertAlign w:val="superscript"/>
              </w:rPr>
              <w:t>1</w:t>
            </w:r>
          </w:p>
        </w:tc>
        <w:tc>
          <w:tcPr>
            <w:tcW w:w="1701" w:type="dxa"/>
            <w:vAlign w:val="center"/>
          </w:tcPr>
          <w:p w14:paraId="5CAA76EF"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455.691W kg</w:t>
            </w:r>
            <w:r w:rsidRPr="00F51A4C">
              <w:rPr>
                <w:rFonts w:eastAsia="Noto Sans Symbols"/>
                <w:vertAlign w:val="superscript"/>
              </w:rPr>
              <w:t>−</w:t>
            </w:r>
            <w:r w:rsidRPr="00F51A4C">
              <w:rPr>
                <w:vertAlign w:val="superscript"/>
              </w:rPr>
              <w:t>1</w:t>
            </w:r>
          </w:p>
        </w:tc>
        <w:tc>
          <w:tcPr>
            <w:tcW w:w="1984" w:type="dxa"/>
            <w:vAlign w:val="center"/>
          </w:tcPr>
          <w:p w14:paraId="12A18478"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r w:rsidRPr="00F51A4C">
              <w:t>5.84 Wh kg</w:t>
            </w:r>
            <w:r w:rsidRPr="00F51A4C">
              <w:rPr>
                <w:rFonts w:eastAsia="Noto Sans Symbols"/>
                <w:vertAlign w:val="superscript"/>
              </w:rPr>
              <w:t>−</w:t>
            </w:r>
            <w:r w:rsidRPr="00F51A4C">
              <w:rPr>
                <w:vertAlign w:val="superscript"/>
              </w:rPr>
              <w:t>1</w:t>
            </w:r>
          </w:p>
        </w:tc>
        <w:tc>
          <w:tcPr>
            <w:tcW w:w="1502" w:type="dxa"/>
            <w:vAlign w:val="center"/>
          </w:tcPr>
          <w:p w14:paraId="5963BAAC" w14:textId="77777777" w:rsidR="0029111A" w:rsidRPr="00F51A4C" w:rsidRDefault="0029111A" w:rsidP="00E36CEF">
            <w:pPr>
              <w:pStyle w:val="MDPI42tablebody"/>
              <w:cnfStyle w:val="000000100000" w:firstRow="0" w:lastRow="0" w:firstColumn="0" w:lastColumn="0" w:oddVBand="0" w:evenVBand="0" w:oddHBand="1" w:evenHBand="0" w:firstRowFirstColumn="0" w:firstRowLastColumn="0" w:lastRowFirstColumn="0" w:lastRowLastColumn="0"/>
            </w:pPr>
            <w:proofErr w:type="spellStart"/>
            <w:r w:rsidRPr="00F51A4C">
              <w:t>This</w:t>
            </w:r>
            <w:proofErr w:type="spellEnd"/>
            <w:r w:rsidRPr="00F51A4C">
              <w:t xml:space="preserve"> </w:t>
            </w:r>
            <w:proofErr w:type="spellStart"/>
            <w:r w:rsidRPr="00F51A4C">
              <w:t>work</w:t>
            </w:r>
            <w:proofErr w:type="spellEnd"/>
          </w:p>
        </w:tc>
      </w:tr>
      <w:tr w:rsidR="00E36CEF" w:rsidRPr="00F51A4C" w14:paraId="709E8E6B" w14:textId="77777777" w:rsidTr="00EC049B">
        <w:trPr>
          <w:trHeight w:val="293"/>
        </w:trPr>
        <w:tc>
          <w:tcPr>
            <w:cnfStyle w:val="001000000000" w:firstRow="0" w:lastRow="0" w:firstColumn="1" w:lastColumn="0" w:oddVBand="0" w:evenVBand="0" w:oddHBand="0" w:evenHBand="0" w:firstRowFirstColumn="0" w:firstRowLastColumn="0" w:lastRowFirstColumn="0" w:lastRowLastColumn="0"/>
            <w:tcW w:w="1701" w:type="dxa"/>
            <w:vMerge/>
            <w:vAlign w:val="center"/>
          </w:tcPr>
          <w:p w14:paraId="49862B91" w14:textId="77777777" w:rsidR="0029111A" w:rsidRPr="00F51A4C" w:rsidRDefault="0029111A" w:rsidP="00E36CEF">
            <w:pPr>
              <w:pStyle w:val="MDPI42tablebody"/>
              <w:rPr>
                <w:i/>
              </w:rPr>
            </w:pPr>
          </w:p>
        </w:tc>
        <w:tc>
          <w:tcPr>
            <w:tcW w:w="1843" w:type="dxa"/>
            <w:vMerge/>
            <w:vAlign w:val="center"/>
          </w:tcPr>
          <w:p w14:paraId="3B422AD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rPr>
                <w:i/>
              </w:rPr>
            </w:pPr>
          </w:p>
        </w:tc>
        <w:tc>
          <w:tcPr>
            <w:tcW w:w="1701" w:type="dxa"/>
            <w:vAlign w:val="center"/>
          </w:tcPr>
          <w:p w14:paraId="7471AFA0"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168.05 </w:t>
            </w:r>
            <w:proofErr w:type="spellStart"/>
            <w:r w:rsidRPr="00F51A4C">
              <w:t>mF</w:t>
            </w:r>
            <w:proofErr w:type="spellEnd"/>
            <w:r w:rsidRPr="00F51A4C">
              <w:t xml:space="preserve"> cm</w:t>
            </w:r>
            <w:r w:rsidRPr="00F51A4C">
              <w:rPr>
                <w:rFonts w:eastAsia="Noto Sans Symbols"/>
                <w:vertAlign w:val="superscript"/>
              </w:rPr>
              <w:t>−</w:t>
            </w:r>
            <w:r w:rsidRPr="00F51A4C">
              <w:rPr>
                <w:vertAlign w:val="superscript"/>
              </w:rPr>
              <w:t>2</w:t>
            </w:r>
          </w:p>
        </w:tc>
        <w:tc>
          <w:tcPr>
            <w:tcW w:w="1701" w:type="dxa"/>
            <w:vAlign w:val="center"/>
          </w:tcPr>
          <w:p w14:paraId="486B783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0.24437</w:t>
            </w:r>
          </w:p>
          <w:p w14:paraId="5DEF05BB"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mW cm</w:t>
            </w:r>
            <w:r w:rsidRPr="00F51A4C">
              <w:rPr>
                <w:rFonts w:eastAsia="Noto Sans Symbols"/>
                <w:vertAlign w:val="superscript"/>
              </w:rPr>
              <w:t>−</w:t>
            </w:r>
            <w:r w:rsidRPr="00F51A4C">
              <w:rPr>
                <w:vertAlign w:val="superscript"/>
              </w:rPr>
              <w:t>2</w:t>
            </w:r>
          </w:p>
        </w:tc>
        <w:tc>
          <w:tcPr>
            <w:tcW w:w="1984" w:type="dxa"/>
            <w:vAlign w:val="center"/>
          </w:tcPr>
          <w:p w14:paraId="35BBC288"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r w:rsidRPr="00F51A4C">
              <w:t xml:space="preserve">0.00313 </w:t>
            </w:r>
            <w:proofErr w:type="spellStart"/>
            <w:r w:rsidRPr="00F51A4C">
              <w:t>mWh</w:t>
            </w:r>
            <w:proofErr w:type="spellEnd"/>
            <w:r w:rsidRPr="00F51A4C">
              <w:t xml:space="preserve"> cm</w:t>
            </w:r>
            <w:r w:rsidRPr="00F51A4C">
              <w:rPr>
                <w:rFonts w:eastAsia="Noto Sans Symbols"/>
                <w:vertAlign w:val="superscript"/>
              </w:rPr>
              <w:t>−</w:t>
            </w:r>
            <w:r w:rsidRPr="00F51A4C">
              <w:rPr>
                <w:vertAlign w:val="superscript"/>
              </w:rPr>
              <w:t>2</w:t>
            </w:r>
          </w:p>
        </w:tc>
        <w:tc>
          <w:tcPr>
            <w:tcW w:w="1502" w:type="dxa"/>
            <w:vAlign w:val="center"/>
          </w:tcPr>
          <w:p w14:paraId="7F22AEF3" w14:textId="77777777" w:rsidR="0029111A" w:rsidRPr="00F51A4C" w:rsidRDefault="0029111A" w:rsidP="00E36CEF">
            <w:pPr>
              <w:pStyle w:val="MDPI42tablebody"/>
              <w:cnfStyle w:val="000000000000" w:firstRow="0" w:lastRow="0" w:firstColumn="0" w:lastColumn="0" w:oddVBand="0" w:evenVBand="0" w:oddHBand="0" w:evenHBand="0" w:firstRowFirstColumn="0" w:firstRowLastColumn="0" w:lastRowFirstColumn="0" w:lastRowLastColumn="0"/>
            </w:pPr>
            <w:proofErr w:type="spellStart"/>
            <w:r w:rsidRPr="00F51A4C">
              <w:t>This</w:t>
            </w:r>
            <w:proofErr w:type="spellEnd"/>
            <w:r w:rsidRPr="00F51A4C">
              <w:t xml:space="preserve"> </w:t>
            </w:r>
            <w:proofErr w:type="spellStart"/>
            <w:r w:rsidRPr="00F51A4C">
              <w:t>work</w:t>
            </w:r>
            <w:proofErr w:type="spellEnd"/>
          </w:p>
        </w:tc>
      </w:tr>
    </w:tbl>
    <w:p w14:paraId="0DCA9FAD" w14:textId="53A81321" w:rsidR="0029111A" w:rsidRDefault="0029111A" w:rsidP="00E36CEF">
      <w:pPr>
        <w:pStyle w:val="MDPI43tablefooter"/>
      </w:pPr>
      <w:r w:rsidRPr="00F51A4C">
        <w:rPr>
          <w:b/>
          <w:bCs/>
          <w:i/>
          <w:iCs/>
        </w:rPr>
        <w:t>Highly doped silicon nanowires</w:t>
      </w:r>
      <w:r w:rsidRPr="00F51A4C">
        <w:rPr>
          <w:b/>
          <w:bCs/>
        </w:rPr>
        <w:t>:</w:t>
      </w:r>
      <w:r w:rsidRPr="00F51A4C">
        <w:t xml:space="preserve"> silicon nanowires-based electrodes for micro-capacitor applications, elaborated with highly n and p type doping in silicon nanowires grew with gold catalyst at chemical vapor deposition (CVD) reactor. </w:t>
      </w:r>
      <w:r w:rsidRPr="00F51A4C">
        <w:rPr>
          <w:rFonts w:cs="Times New Roman"/>
          <w:b/>
          <w:bCs/>
          <w:i/>
        </w:rPr>
        <w:t>N-doped Graphene/PANI hydrogel</w:t>
      </w:r>
      <w:r w:rsidRPr="00F51A4C">
        <w:rPr>
          <w:rFonts w:cs="Times New Roman"/>
          <w:b/>
          <w:bCs/>
          <w:iCs/>
        </w:rPr>
        <w:t>:</w:t>
      </w:r>
      <w:r w:rsidRPr="00F51A4C">
        <w:rPr>
          <w:rFonts w:cs="Times New Roman"/>
          <w:iCs/>
        </w:rPr>
        <w:t xml:space="preserve"> N type doped PANI hydrogel/graphene oxide (GO) composite electrode synthesized by hydrothermal process, for flexible supercapacitor assemble. </w:t>
      </w:r>
      <w:r w:rsidRPr="00F51A4C">
        <w:rPr>
          <w:rFonts w:cs="Times New Roman"/>
          <w:b/>
          <w:bCs/>
          <w:i/>
        </w:rPr>
        <w:t>PANI-N/CNT</w:t>
      </w:r>
      <w:r w:rsidRPr="00F51A4C">
        <w:rPr>
          <w:rFonts w:cs="Times New Roman"/>
          <w:iCs/>
        </w:rPr>
        <w:t xml:space="preserve">: electrode based on activated carbon nanoparticles doped with nitrogen, obtained from PANI nanoparticles pyrolysis for capacitor application. </w:t>
      </w:r>
      <w:r w:rsidRPr="00F51A4C">
        <w:rPr>
          <w:rFonts w:cs="Times New Roman"/>
          <w:b/>
          <w:bCs/>
          <w:i/>
          <w:color w:val="2E2E2E"/>
        </w:rPr>
        <w:t>ACTIVATED CARBON-PTFE</w:t>
      </w:r>
      <w:r w:rsidRPr="00F51A4C">
        <w:rPr>
          <w:rFonts w:cs="Times New Roman"/>
          <w:b/>
          <w:bCs/>
          <w:iCs/>
          <w:color w:val="2E2E2E"/>
        </w:rPr>
        <w:t>:</w:t>
      </w:r>
      <w:r w:rsidRPr="00F51A4C">
        <w:rPr>
          <w:rFonts w:cs="Times New Roman"/>
          <w:iCs/>
          <w:color w:val="2E2E2E"/>
        </w:rPr>
        <w:t xml:space="preserve"> Ink-jet printed electrode with an ink formulation obtained by mixing activated carbon powder, polytetrafluoroethylene (PTFE) polymer, ethylene glycol and surfactant. Subsequently printing over a silicon substrate for micro-capacitor applications.</w:t>
      </w:r>
      <w:r w:rsidRPr="00F51A4C">
        <w:rPr>
          <w:rFonts w:cs="Times New Roman"/>
          <w:i/>
        </w:rPr>
        <w:t xml:space="preserve"> </w:t>
      </w:r>
      <w:r w:rsidRPr="00F51A4C">
        <w:rPr>
          <w:rFonts w:cs="Times New Roman"/>
          <w:b/>
          <w:bCs/>
          <w:i/>
        </w:rPr>
        <w:t>PANI-MLG</w:t>
      </w:r>
      <w:r w:rsidRPr="00F51A4C">
        <w:rPr>
          <w:rFonts w:cs="Times New Roman"/>
          <w:b/>
          <w:bCs/>
          <w:iCs/>
        </w:rPr>
        <w:t>:</w:t>
      </w:r>
      <w:r w:rsidRPr="00F51A4C">
        <w:rPr>
          <w:rFonts w:cs="Times New Roman"/>
          <w:iCs/>
        </w:rPr>
        <w:t xml:space="preserve"> PANI modified multilayer graphene electrodes. </w:t>
      </w:r>
      <w:r w:rsidRPr="00F51A4C">
        <w:rPr>
          <w:rFonts w:cs="Times New Roman"/>
          <w:b/>
          <w:bCs/>
          <w:i/>
        </w:rPr>
        <w:t>IPCN-</w:t>
      </w:r>
      <w:proofErr w:type="spellStart"/>
      <w:r w:rsidRPr="00F51A4C">
        <w:rPr>
          <w:rFonts w:cs="Times New Roman"/>
          <w:b/>
          <w:bCs/>
          <w:i/>
        </w:rPr>
        <w:t>alkalyne</w:t>
      </w:r>
      <w:proofErr w:type="spellEnd"/>
      <w:r w:rsidRPr="00F51A4C">
        <w:rPr>
          <w:rFonts w:cs="Times New Roman"/>
          <w:b/>
          <w:bCs/>
          <w:i/>
        </w:rPr>
        <w:t xml:space="preserve"> carbon metal</w:t>
      </w:r>
      <w:r w:rsidRPr="00F51A4C">
        <w:rPr>
          <w:rFonts w:cs="Times New Roman"/>
          <w:b/>
          <w:bCs/>
          <w:iCs/>
        </w:rPr>
        <w:t xml:space="preserve">: </w:t>
      </w:r>
      <w:r w:rsidRPr="005E54CA">
        <w:rPr>
          <w:rFonts w:cs="Times New Roman"/>
          <w:noProof/>
        </w:rPr>
        <w:t>interconnected porous carbon nanosheets with controllable pore size</w:t>
      </w:r>
    </w:p>
    <w:p w14:paraId="425002EB" w14:textId="3D5CDC5C" w:rsidR="004E1718" w:rsidRPr="00325902" w:rsidRDefault="00F84ADC" w:rsidP="00E74F3E">
      <w:pPr>
        <w:pStyle w:val="MDPI21heading1"/>
      </w:pPr>
      <w:r>
        <w:t>4</w:t>
      </w:r>
      <w:r w:rsidR="004E1718">
        <w:t>. Conclusions</w:t>
      </w:r>
    </w:p>
    <w:p w14:paraId="54E0357B" w14:textId="377C4C83" w:rsidR="004E1718" w:rsidRDefault="00F84ADC" w:rsidP="005D73BD">
      <w:pPr>
        <w:pStyle w:val="MDPI31text"/>
        <w:spacing w:after="120"/>
      </w:pPr>
      <w:r w:rsidRPr="00F51A4C">
        <w:t xml:space="preserve">The production of a flexible supercapacitor electrode was demonstrated in this paper, using a polyethylene terephthalate (PET) substrate. The mass quantity of CA and carbon black were tested in different aqueous media to optimize the capacitance response. The device is potentially disposable as it is obtained from eco-friendly and relatively low-cost materials, compared to others employed in electrochemical capacitors development. The optimal composition was achieved with 66.7/33.3 </w:t>
      </w:r>
      <w:proofErr w:type="spellStart"/>
      <w:r w:rsidRPr="00F51A4C">
        <w:t>wt</w:t>
      </w:r>
      <w:proofErr w:type="spellEnd"/>
      <w:r w:rsidRPr="00F51A4C">
        <w:t xml:space="preserve">% CB/CA, and its storage mechanism is predominantly by the electrical double layer, as evidenced by cyclic voltammetry, presenting an outstanding capacitive behavior on acidic media, demonstrating </w:t>
      </w:r>
      <w:r>
        <w:t xml:space="preserve">the </w:t>
      </w:r>
      <w:r w:rsidRPr="00F51A4C">
        <w:t>absence of redox reactions in this condition. In the PCD technique</w:t>
      </w:r>
      <w:r>
        <w:t>,</w:t>
      </w:r>
      <w:r w:rsidRPr="00F51A4C">
        <w:t xml:space="preserve"> the device presented more defined charge/discharge graphics, leading to more capacitive behaviors in both acidic and basic solutions. In these conditions, specific power of 1000 W Kg</w:t>
      </w:r>
      <w:r w:rsidRPr="00F51A4C">
        <w:rPr>
          <w:rFonts w:ascii="Symbol" w:hAnsi="Symbol"/>
          <w:vertAlign w:val="superscript"/>
        </w:rPr>
        <w:t>-</w:t>
      </w:r>
      <w:r w:rsidRPr="00F51A4C">
        <w:rPr>
          <w:vertAlign w:val="superscript"/>
        </w:rPr>
        <w:t xml:space="preserve">1 </w:t>
      </w:r>
      <w:r w:rsidRPr="00F51A4C">
        <w:t>in the acidic medium was obtained. Through the EIS technique</w:t>
      </w:r>
      <w:r>
        <w:t>,</w:t>
      </w:r>
      <w:r w:rsidRPr="00F51A4C">
        <w:t xml:space="preserve"> it was possible to observe a highly capacitive behavior in acidic media and a hybrid capacitive/resistive profile in </w:t>
      </w:r>
      <w:r>
        <w:t xml:space="preserve">the </w:t>
      </w:r>
      <w:r w:rsidRPr="00F51A4C">
        <w:t>basic electrolyte. The device also presented 84% capacitance retention after 100 cycles and is quite stable after 200 torsions. All these data suggest that the device is indeed optimal in lower pH systems, but some energy storage can still be obtained in higher pH electrolytes. The proposed device also demonstrated interesting charge-storage capacity and cyclic stability, especially in acidic solutions, affirming its path as an alternative environmentally friendly supercapacitor with simple fabrication.</w:t>
      </w:r>
    </w:p>
    <w:p w14:paraId="4D82E7CB" w14:textId="7E4B793D" w:rsidR="00F84ADC" w:rsidRPr="00613B31" w:rsidRDefault="004E1718" w:rsidP="005D73BD">
      <w:pPr>
        <w:pStyle w:val="MDPI62BackMatter"/>
      </w:pPr>
      <w:r w:rsidRPr="00613B31">
        <w:rPr>
          <w:b/>
        </w:rPr>
        <w:t>Author Contributions:</w:t>
      </w:r>
      <w:r w:rsidRPr="00613B31">
        <w:t xml:space="preserve"> Conceptualization, </w:t>
      </w:r>
      <w:r w:rsidR="000C1522">
        <w:t>G. G. Daniele</w:t>
      </w:r>
      <w:r w:rsidR="000C1522" w:rsidRPr="00613B31">
        <w:t xml:space="preserve"> </w:t>
      </w:r>
      <w:r w:rsidRPr="00613B31">
        <w:t xml:space="preserve">and </w:t>
      </w:r>
      <w:r w:rsidR="000C1522">
        <w:t xml:space="preserve">B. C. </w:t>
      </w:r>
      <w:proofErr w:type="spellStart"/>
      <w:r w:rsidR="000C1522">
        <w:t>Janegitz</w:t>
      </w:r>
      <w:proofErr w:type="spellEnd"/>
      <w:r w:rsidRPr="00613B31">
        <w:t xml:space="preserve">; methodology, </w:t>
      </w:r>
      <w:r w:rsidR="000C1522">
        <w:t>G. G. Daniele</w:t>
      </w:r>
      <w:r w:rsidR="000C1522" w:rsidRPr="00613B31">
        <w:t xml:space="preserve"> and </w:t>
      </w:r>
      <w:r w:rsidR="000C1522">
        <w:t xml:space="preserve">B. C. </w:t>
      </w:r>
      <w:proofErr w:type="spellStart"/>
      <w:r w:rsidR="000C1522">
        <w:t>Janegitz</w:t>
      </w:r>
      <w:proofErr w:type="spellEnd"/>
      <w:r w:rsidRPr="00613B31">
        <w:t xml:space="preserve">; software, </w:t>
      </w:r>
      <w:r w:rsidR="000C1522">
        <w:t>G. G. Daniele,</w:t>
      </w:r>
      <w:r w:rsidR="000C1522" w:rsidRPr="00613B31">
        <w:t xml:space="preserve"> </w:t>
      </w:r>
      <w:r w:rsidR="000C1522">
        <w:t>D. C. de Souza and L. O. Orzari</w:t>
      </w:r>
      <w:r w:rsidRPr="00613B31">
        <w:t xml:space="preserve">; validation, </w:t>
      </w:r>
      <w:r w:rsidR="000C1522">
        <w:t xml:space="preserve">D. </w:t>
      </w:r>
      <w:r w:rsidR="000C1522">
        <w:lastRenderedPageBreak/>
        <w:t>C. de Souza, 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rPr>
          <w:vertAlign w:val="superscript"/>
        </w:rPr>
        <w:t xml:space="preserve"> </w:t>
      </w:r>
      <w:r w:rsidR="000C1522">
        <w:t xml:space="preserve">, E. C. da Silva, L. A. </w:t>
      </w:r>
      <w:proofErr w:type="spellStart"/>
      <w:r w:rsidR="000C1522">
        <w:t>Pocrifka</w:t>
      </w:r>
      <w:proofErr w:type="spellEnd"/>
      <w:r w:rsidR="000C1522">
        <w:t xml:space="preserve">, J. A. </w:t>
      </w:r>
      <w:proofErr w:type="spellStart"/>
      <w:r w:rsidR="000C1522">
        <w:t>Bonacin</w:t>
      </w:r>
      <w:proofErr w:type="spellEnd"/>
      <w:r w:rsidR="000C1522">
        <w:t xml:space="preserve"> and B. C. </w:t>
      </w:r>
      <w:proofErr w:type="spellStart"/>
      <w:r w:rsidR="000C1522">
        <w:t>Janegitz</w:t>
      </w:r>
      <w:proofErr w:type="spellEnd"/>
      <w:r w:rsidRPr="00613B31">
        <w:t xml:space="preserve">; formal analysis, </w:t>
      </w:r>
      <w:r w:rsidR="000C1522">
        <w:t>G. G. Daniele and</w:t>
      </w:r>
      <w:r w:rsidR="000C1522" w:rsidRPr="00613B31">
        <w:t xml:space="preserve"> </w:t>
      </w:r>
      <w:r w:rsidR="000C1522">
        <w:t>D. C. de Souza</w:t>
      </w:r>
      <w:r w:rsidRPr="00613B31">
        <w:t xml:space="preserve">; investigation, </w:t>
      </w:r>
      <w:r w:rsidR="000C1522">
        <w:t>G. G. Daniele and</w:t>
      </w:r>
      <w:r w:rsidR="000C1522" w:rsidRPr="00613B31">
        <w:t xml:space="preserve"> </w:t>
      </w:r>
      <w:r w:rsidR="000C1522">
        <w:t>D. C. de Souza</w:t>
      </w:r>
      <w:r w:rsidRPr="00613B31">
        <w:t xml:space="preserve">; resources, </w:t>
      </w:r>
      <w:r w:rsidR="000C1522">
        <w:t xml:space="preserve">B. C. </w:t>
      </w:r>
      <w:proofErr w:type="spellStart"/>
      <w:r w:rsidR="000C1522">
        <w:t>Janegitz</w:t>
      </w:r>
      <w:proofErr w:type="spellEnd"/>
      <w:r w:rsidRPr="00613B31">
        <w:t xml:space="preserve"> data curation, </w:t>
      </w:r>
      <w:r w:rsidR="000C1522">
        <w:t>G. G. Daniele</w:t>
      </w:r>
      <w:r w:rsidR="000C1522" w:rsidRPr="00D945EC">
        <w:t xml:space="preserve">, </w:t>
      </w:r>
      <w:r w:rsidR="000C1522">
        <w:t>D. C. de Souza, 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rPr>
          <w:vertAlign w:val="superscript"/>
        </w:rPr>
        <w:t xml:space="preserve"> </w:t>
      </w:r>
      <w:r w:rsidR="000C1522">
        <w:t xml:space="preserve"> and E. C. da Silva</w:t>
      </w:r>
      <w:r w:rsidRPr="00613B31">
        <w:t xml:space="preserve">; writing—original draft preparation, </w:t>
      </w:r>
      <w:r w:rsidR="000C1522">
        <w:t>G. G. Daniele and</w:t>
      </w:r>
      <w:r w:rsidR="000C1522" w:rsidRPr="00D945EC">
        <w:t xml:space="preserve"> </w:t>
      </w:r>
      <w:r w:rsidR="000C1522">
        <w:t>D. C. de Souza</w:t>
      </w:r>
      <w:r w:rsidRPr="00613B31">
        <w:t xml:space="preserve">; writing—review and editing, </w:t>
      </w:r>
      <w:r w:rsidR="000C1522">
        <w:t>L. O. Orzari</w:t>
      </w:r>
      <w:r w:rsidR="000C1522" w:rsidRPr="00D577D3">
        <w:t>,</w:t>
      </w:r>
      <w:r w:rsidR="000C1522">
        <w:t xml:space="preserve"> R. V. </w:t>
      </w:r>
      <w:proofErr w:type="spellStart"/>
      <w:r w:rsidR="000C1522">
        <w:t>Blasques</w:t>
      </w:r>
      <w:proofErr w:type="spellEnd"/>
      <w:r w:rsidR="000C1522">
        <w:t xml:space="preserve">, R. L. </w:t>
      </w:r>
      <w:proofErr w:type="spellStart"/>
      <w:r w:rsidR="000C1522">
        <w:t>Germscheidt</w:t>
      </w:r>
      <w:proofErr w:type="spellEnd"/>
      <w:r w:rsidR="000C1522">
        <w:rPr>
          <w:vertAlign w:val="superscript"/>
        </w:rPr>
        <w:t xml:space="preserve"> </w:t>
      </w:r>
      <w:r w:rsidR="000C1522">
        <w:t xml:space="preserve">, E. C. da Silva, L. A. </w:t>
      </w:r>
      <w:proofErr w:type="spellStart"/>
      <w:r w:rsidR="000C1522">
        <w:t>Pocrifka</w:t>
      </w:r>
      <w:proofErr w:type="spellEnd"/>
      <w:r w:rsidR="000C1522">
        <w:t xml:space="preserve">, J. A. </w:t>
      </w:r>
      <w:proofErr w:type="spellStart"/>
      <w:r w:rsidR="000C1522">
        <w:t>Bonacin</w:t>
      </w:r>
      <w:proofErr w:type="spellEnd"/>
      <w:r w:rsidR="000C1522">
        <w:t xml:space="preserve"> and B. C. </w:t>
      </w:r>
      <w:proofErr w:type="spellStart"/>
      <w:r w:rsidR="000C1522">
        <w:t>Janegitz</w:t>
      </w:r>
      <w:proofErr w:type="spellEnd"/>
      <w:r w:rsidRPr="00613B31">
        <w:t xml:space="preserve">; visualization, </w:t>
      </w:r>
      <w:r w:rsidR="001000FA">
        <w:t xml:space="preserve">L.O. Orzari and B. C. </w:t>
      </w:r>
      <w:proofErr w:type="spellStart"/>
      <w:r w:rsidR="001000FA">
        <w:t>Janegitz</w:t>
      </w:r>
      <w:proofErr w:type="spellEnd"/>
      <w:r w:rsidRPr="00613B31">
        <w:t xml:space="preserve">.; supervision, </w:t>
      </w:r>
      <w:r w:rsidR="000C1522">
        <w:t xml:space="preserve">B. C. </w:t>
      </w:r>
      <w:proofErr w:type="spellStart"/>
      <w:r w:rsidR="000C1522">
        <w:t>Janegitz</w:t>
      </w:r>
      <w:proofErr w:type="spellEnd"/>
      <w:r w:rsidRPr="00613B31">
        <w:t xml:space="preserve">; project administration, </w:t>
      </w:r>
      <w:r w:rsidR="000C1522">
        <w:t>G. G. Daniele and</w:t>
      </w:r>
      <w:r w:rsidR="001000FA">
        <w:t xml:space="preserve"> B. C. </w:t>
      </w:r>
      <w:proofErr w:type="spellStart"/>
      <w:r w:rsidR="001000FA">
        <w:t>Janegitz</w:t>
      </w:r>
      <w:proofErr w:type="spellEnd"/>
      <w:r w:rsidRPr="00613B31">
        <w:t xml:space="preserve">; funding acquisition, </w:t>
      </w:r>
      <w:r w:rsidR="001000FA">
        <w:t xml:space="preserve">B. C. </w:t>
      </w:r>
      <w:proofErr w:type="spellStart"/>
      <w:r w:rsidR="001000FA">
        <w:t>Janegitz</w:t>
      </w:r>
      <w:proofErr w:type="spellEnd"/>
      <w:r w:rsidRPr="00613B31">
        <w:t>. All authors have read and agreed to the published version of the manuscript.</w:t>
      </w:r>
    </w:p>
    <w:p w14:paraId="0D525608" w14:textId="77777777" w:rsidR="001000FA" w:rsidRPr="005E54CA" w:rsidRDefault="004E1718" w:rsidP="001000FA">
      <w:pPr>
        <w:pStyle w:val="MDPI62BackMatter"/>
      </w:pPr>
      <w:r w:rsidRPr="00613B31">
        <w:rPr>
          <w:b/>
        </w:rPr>
        <w:t>Funding:</w:t>
      </w:r>
      <w:r w:rsidRPr="00613B31">
        <w:t xml:space="preserve"> </w:t>
      </w:r>
      <w:r w:rsidR="001000FA" w:rsidRPr="00F51A4C">
        <w:t xml:space="preserve">The authors are grateful for the financial support of the Brazilian Funding Agencies. </w:t>
      </w:r>
      <w:r w:rsidR="001000FA" w:rsidRPr="005E54CA">
        <w:t xml:space="preserve">This work was supported in part by </w:t>
      </w:r>
      <w:proofErr w:type="spellStart"/>
      <w:r w:rsidR="001000FA" w:rsidRPr="00F51A4C">
        <w:rPr>
          <w:bCs/>
        </w:rPr>
        <w:t>Coordenação</w:t>
      </w:r>
      <w:proofErr w:type="spellEnd"/>
      <w:r w:rsidR="001000FA" w:rsidRPr="00F51A4C">
        <w:rPr>
          <w:bCs/>
        </w:rPr>
        <w:t xml:space="preserve"> de </w:t>
      </w:r>
      <w:proofErr w:type="spellStart"/>
      <w:r w:rsidR="001000FA" w:rsidRPr="00F51A4C">
        <w:rPr>
          <w:bCs/>
        </w:rPr>
        <w:t>Aperfeiçoamento</w:t>
      </w:r>
      <w:proofErr w:type="spellEnd"/>
      <w:r w:rsidR="001000FA" w:rsidRPr="00F51A4C">
        <w:rPr>
          <w:bCs/>
        </w:rPr>
        <w:t xml:space="preserve"> de </w:t>
      </w:r>
      <w:proofErr w:type="spellStart"/>
      <w:r w:rsidR="001000FA" w:rsidRPr="00F51A4C">
        <w:rPr>
          <w:bCs/>
        </w:rPr>
        <w:t>Pessoal</w:t>
      </w:r>
      <w:proofErr w:type="spellEnd"/>
      <w:r w:rsidR="001000FA" w:rsidRPr="00F51A4C">
        <w:rPr>
          <w:bCs/>
        </w:rPr>
        <w:t xml:space="preserve"> de </w:t>
      </w:r>
      <w:proofErr w:type="spellStart"/>
      <w:r w:rsidR="001000FA" w:rsidRPr="00F51A4C">
        <w:rPr>
          <w:bCs/>
        </w:rPr>
        <w:t>Nível</w:t>
      </w:r>
      <w:proofErr w:type="spellEnd"/>
      <w:r w:rsidR="001000FA" w:rsidRPr="00F51A4C">
        <w:rPr>
          <w:bCs/>
        </w:rPr>
        <w:t xml:space="preserve"> Superior (CAPES) (financial code 001 and CAPES 09/2020 </w:t>
      </w:r>
      <w:proofErr w:type="spellStart"/>
      <w:r w:rsidR="001000FA" w:rsidRPr="00F51A4C">
        <w:rPr>
          <w:bCs/>
        </w:rPr>
        <w:t>Epidemias</w:t>
      </w:r>
      <w:proofErr w:type="spellEnd"/>
      <w:r w:rsidR="001000FA" w:rsidRPr="00F51A4C">
        <w:rPr>
          <w:bCs/>
        </w:rPr>
        <w:t xml:space="preserve"> 88887.504861/2020-00) and the </w:t>
      </w:r>
      <w:proofErr w:type="spellStart"/>
      <w:r w:rsidR="001000FA" w:rsidRPr="00F51A4C">
        <w:rPr>
          <w:bCs/>
        </w:rPr>
        <w:t>Conselho</w:t>
      </w:r>
      <w:proofErr w:type="spellEnd"/>
      <w:r w:rsidR="001000FA" w:rsidRPr="00F51A4C">
        <w:rPr>
          <w:bCs/>
        </w:rPr>
        <w:t xml:space="preserve"> Nacional de </w:t>
      </w:r>
      <w:proofErr w:type="spellStart"/>
      <w:r w:rsidR="001000FA" w:rsidRPr="00F51A4C">
        <w:rPr>
          <w:bCs/>
        </w:rPr>
        <w:t>Desenvolvimento</w:t>
      </w:r>
      <w:proofErr w:type="spellEnd"/>
      <w:r w:rsidR="001000FA" w:rsidRPr="00F51A4C">
        <w:rPr>
          <w:bCs/>
        </w:rPr>
        <w:t xml:space="preserve"> </w:t>
      </w:r>
      <w:proofErr w:type="spellStart"/>
      <w:r w:rsidR="001000FA" w:rsidRPr="00F51A4C">
        <w:rPr>
          <w:bCs/>
        </w:rPr>
        <w:t>Científico</w:t>
      </w:r>
      <w:proofErr w:type="spellEnd"/>
      <w:r w:rsidR="001000FA" w:rsidRPr="00F51A4C">
        <w:rPr>
          <w:bCs/>
        </w:rPr>
        <w:t xml:space="preserve"> e </w:t>
      </w:r>
      <w:proofErr w:type="spellStart"/>
      <w:r w:rsidR="001000FA" w:rsidRPr="00F51A4C">
        <w:rPr>
          <w:bCs/>
        </w:rPr>
        <w:t>Tecnológico</w:t>
      </w:r>
      <w:proofErr w:type="spellEnd"/>
      <w:r w:rsidR="001000FA" w:rsidRPr="00F51A4C">
        <w:rPr>
          <w:bCs/>
        </w:rPr>
        <w:t xml:space="preserve"> (</w:t>
      </w:r>
      <w:proofErr w:type="spellStart"/>
      <w:r w:rsidR="001000FA" w:rsidRPr="00F51A4C">
        <w:rPr>
          <w:bCs/>
        </w:rPr>
        <w:t>CNPq</w:t>
      </w:r>
      <w:proofErr w:type="spellEnd"/>
      <w:r w:rsidR="001000FA" w:rsidRPr="00F51A4C">
        <w:rPr>
          <w:bCs/>
        </w:rPr>
        <w:t>, 303338/2019-9)</w:t>
      </w:r>
      <w:r w:rsidR="001000FA">
        <w:rPr>
          <w:bCs/>
        </w:rPr>
        <w:t xml:space="preserve"> </w:t>
      </w:r>
      <w:r w:rsidR="001000FA" w:rsidRPr="005E54CA">
        <w:t xml:space="preserve">and </w:t>
      </w:r>
      <w:proofErr w:type="spellStart"/>
      <w:r w:rsidR="001000FA" w:rsidRPr="005E54CA">
        <w:t>Fundação</w:t>
      </w:r>
      <w:proofErr w:type="spellEnd"/>
      <w:r w:rsidR="001000FA" w:rsidRPr="005E54CA">
        <w:t xml:space="preserve"> de Amparo à </w:t>
      </w:r>
      <w:proofErr w:type="spellStart"/>
      <w:r w:rsidR="001000FA" w:rsidRPr="005E54CA">
        <w:t>Pesquisa</w:t>
      </w:r>
      <w:proofErr w:type="spellEnd"/>
      <w:r w:rsidR="001000FA" w:rsidRPr="005E54CA">
        <w:t xml:space="preserve"> do Estado de São Paulo, FAPESP (2017/23960-0, 2017/11986-5, 2019/23342-0).</w:t>
      </w:r>
    </w:p>
    <w:p w14:paraId="6F163590" w14:textId="7CB52EC3" w:rsidR="004E1718" w:rsidRPr="00613B31" w:rsidRDefault="004E1718" w:rsidP="004E1718">
      <w:pPr>
        <w:pStyle w:val="MDPI62BackMatter"/>
      </w:pPr>
      <w:r w:rsidRPr="00613B31">
        <w:rPr>
          <w:b/>
        </w:rPr>
        <w:t>Conflicts of Interest:</w:t>
      </w:r>
      <w:r w:rsidRPr="00613B31">
        <w:t xml:space="preserve"> The authors declare no conflict of interest</w:t>
      </w:r>
      <w:r w:rsidR="001000FA">
        <w:t>.</w:t>
      </w:r>
    </w:p>
    <w:p w14:paraId="24AB508F" w14:textId="77777777" w:rsidR="004E1718" w:rsidRPr="00FA04F1" w:rsidRDefault="004E1718" w:rsidP="00C43510">
      <w:pPr>
        <w:pStyle w:val="MDPI21heading1"/>
        <w:ind w:left="0"/>
      </w:pPr>
      <w:r w:rsidRPr="00FA04F1">
        <w:t>References</w:t>
      </w:r>
    </w:p>
    <w:p w14:paraId="44C53C4D" w14:textId="77777777" w:rsidR="00CE50FD" w:rsidRPr="00CE50FD" w:rsidRDefault="001000FA" w:rsidP="00CE50FD">
      <w:pPr>
        <w:pStyle w:val="EndNoteBibliography"/>
        <w:spacing w:after="0"/>
      </w:pPr>
      <w:r>
        <w:fldChar w:fldCharType="begin"/>
      </w:r>
      <w:r>
        <w:instrText xml:space="preserve"> ADDIN EN.REFLIST </w:instrText>
      </w:r>
      <w:r>
        <w:fldChar w:fldCharType="separate"/>
      </w:r>
      <w:r w:rsidR="00CE50FD" w:rsidRPr="00CE50FD">
        <w:t>[1] J. Libich, J. Máca, J. Vondrák, O. Čech, M. Sedlaříková, Supercapacitors: Properties and applications, Journal of Energy Storage, 17(2018) 224-7.</w:t>
      </w:r>
    </w:p>
    <w:p w14:paraId="05061947" w14:textId="77777777" w:rsidR="00CE50FD" w:rsidRPr="00CE50FD" w:rsidRDefault="00CE50FD" w:rsidP="00CE50FD">
      <w:pPr>
        <w:pStyle w:val="EndNoteBibliography"/>
        <w:spacing w:after="0"/>
      </w:pPr>
      <w:r w:rsidRPr="00CE50FD">
        <w:t>[2] S.P.S. Badwal, S.S. Giddey, C. Munnings, A.I. Bhatt, A.F. Hollenkamp, Emerging electrochemical energy conversion and storage technologies, Frontiers in chemistry, 2(2014) 79.</w:t>
      </w:r>
    </w:p>
    <w:p w14:paraId="7535975B" w14:textId="77777777" w:rsidR="00CE50FD" w:rsidRPr="00CE50FD" w:rsidRDefault="00CE50FD" w:rsidP="00CE50FD">
      <w:pPr>
        <w:pStyle w:val="EndNoteBibliography"/>
        <w:spacing w:after="0"/>
      </w:pPr>
      <w:r w:rsidRPr="00CE50FD">
        <w:t>[3] M. Rapisarda, F. Marken, M. Meo, Graphene oxide and starch gel as a hybrid binder for environmentally friendly high-performance supercapacitors, Communications Chemistry, 4(2021) 169.</w:t>
      </w:r>
    </w:p>
    <w:p w14:paraId="24AAB9E9" w14:textId="77777777" w:rsidR="00CE50FD" w:rsidRPr="00CE50FD" w:rsidRDefault="00CE50FD" w:rsidP="00CE50FD">
      <w:pPr>
        <w:pStyle w:val="EndNoteBibliography"/>
        <w:spacing w:after="0"/>
      </w:pPr>
      <w:r w:rsidRPr="00CE50FD">
        <w:t>[4] E. Faggioli, P. Rena, V. Danel, X. Andrieu, R. Mallant, H. Kahlen, Supercapacitors for the energy management of electric vehicles, Journal of Power Sources, 84(1999) 261-9.</w:t>
      </w:r>
    </w:p>
    <w:p w14:paraId="648C080E" w14:textId="77777777" w:rsidR="00CE50FD" w:rsidRPr="00CE50FD" w:rsidRDefault="00CE50FD" w:rsidP="00CE50FD">
      <w:pPr>
        <w:pStyle w:val="EndNoteBibliography"/>
        <w:spacing w:after="0"/>
      </w:pPr>
      <w:r w:rsidRPr="00CE50FD">
        <w:t>[5] L. Kouchachvili, W. Yaïci, E. Entchev, Hybrid battery/supercapacitor energy storage system for the electric vehicles, Journal of Power Sources, 374(2018) 237-48.</w:t>
      </w:r>
    </w:p>
    <w:p w14:paraId="6A24F0FE" w14:textId="77777777" w:rsidR="00CE50FD" w:rsidRPr="00CE50FD" w:rsidRDefault="00CE50FD" w:rsidP="00CE50FD">
      <w:pPr>
        <w:pStyle w:val="EndNoteBibliography"/>
        <w:spacing w:after="0"/>
      </w:pPr>
      <w:r w:rsidRPr="00CE50FD">
        <w:t>[6] G. de Souza Augusto, J. Scarmínio, P.R. Catarini Silva, A. de Siervo, C.S. Rout, F. Rouxinol, et al., Flexible metal-free supercapacitors based on multilayer graphene electrodes, Electrochimica Acta, 285(2018) 241-53.</w:t>
      </w:r>
    </w:p>
    <w:p w14:paraId="3BB56B95" w14:textId="77777777" w:rsidR="00CE50FD" w:rsidRPr="00CE50FD" w:rsidRDefault="00CE50FD" w:rsidP="00CE50FD">
      <w:pPr>
        <w:pStyle w:val="EndNoteBibliography"/>
        <w:spacing w:after="0"/>
      </w:pPr>
      <w:r w:rsidRPr="00CE50FD">
        <w:t>[7] C. Lekakou, O. Moudam, F. Markoulidis, T. Andrews, J. Watts, G.J.J.o.N. Reed, Carbon-based fibrous EDLC capacitors and supercapacitors, 2011(2011).</w:t>
      </w:r>
    </w:p>
    <w:p w14:paraId="1BE59E1E" w14:textId="77777777" w:rsidR="00CE50FD" w:rsidRPr="00CE50FD" w:rsidRDefault="00CE50FD" w:rsidP="00CE50FD">
      <w:pPr>
        <w:pStyle w:val="EndNoteBibliography"/>
        <w:spacing w:after="0"/>
      </w:pPr>
      <w:r w:rsidRPr="00CE50FD">
        <w:t>[8] S.G. Kandalkar, D.S. Dhawale, C.-K. Kim, C.D. Lokhande, Chemical synthesis of cobalt oxide thin film electrode for supercapacitor application, Synthetic Metals, 160(2010) 1299-302.</w:t>
      </w:r>
    </w:p>
    <w:p w14:paraId="199D3FE0" w14:textId="77777777" w:rsidR="00CE50FD" w:rsidRPr="00CE50FD" w:rsidRDefault="00CE50FD" w:rsidP="00CE50FD">
      <w:pPr>
        <w:pStyle w:val="EndNoteBibliography"/>
        <w:spacing w:after="0"/>
      </w:pPr>
      <w:r w:rsidRPr="00CE50FD">
        <w:t>[9] J. Chmiola, C. Largeot, P.L. Taberna, P. Simon, Y. Gogotsi, Monolithic carbide-derived carbon films for micro-supercapacitors, Science (New York, NY), 328(2010) 480-3.</w:t>
      </w:r>
    </w:p>
    <w:p w14:paraId="0EC59F98" w14:textId="77777777" w:rsidR="00CE50FD" w:rsidRPr="00CE50FD" w:rsidRDefault="00CE50FD" w:rsidP="00CE50FD">
      <w:pPr>
        <w:pStyle w:val="EndNoteBibliography"/>
        <w:spacing w:after="0"/>
      </w:pPr>
      <w:r w:rsidRPr="00CE50FD">
        <w:t>[10] P. Simon, Y. Gogotsi, Materials for electrochemical capacitors, Nanoscience technology: a collection of reviews from Nature journals, (2010) 320-9.</w:t>
      </w:r>
    </w:p>
    <w:p w14:paraId="121B654B" w14:textId="77777777" w:rsidR="00CE50FD" w:rsidRPr="00CE50FD" w:rsidRDefault="00CE50FD" w:rsidP="00CE50FD">
      <w:pPr>
        <w:pStyle w:val="EndNoteBibliography"/>
        <w:spacing w:after="0"/>
      </w:pPr>
      <w:r w:rsidRPr="00CE50FD">
        <w:t>[11] S. Palchoudhury, K. Ramasamy, R.K. Gupta, A. Gupta, Flexible supercapacitors: a materials perspective, Frontiers in Materials, 5(2019) 83.</w:t>
      </w:r>
    </w:p>
    <w:p w14:paraId="26F2F35E" w14:textId="77777777" w:rsidR="00CE50FD" w:rsidRPr="00CE50FD" w:rsidRDefault="00CE50FD" w:rsidP="00CE50FD">
      <w:pPr>
        <w:pStyle w:val="EndNoteBibliography"/>
        <w:spacing w:after="0"/>
      </w:pPr>
      <w:r w:rsidRPr="00CE50FD">
        <w:t>[12] P. Xie, W. Yuan, X. Liu, Y. Peng, Y. Yin, Y. Li, et al., Advanced carbon nanomaterials for state-of-the-art flexible supercapacitors, Energy Storage Materials, 36(2021) 56-76.</w:t>
      </w:r>
    </w:p>
    <w:p w14:paraId="32B4588C" w14:textId="77777777" w:rsidR="00CE50FD" w:rsidRPr="00CE50FD" w:rsidRDefault="00CE50FD" w:rsidP="00CE50FD">
      <w:pPr>
        <w:pStyle w:val="EndNoteBibliography"/>
        <w:spacing w:after="0"/>
      </w:pPr>
      <w:r w:rsidRPr="00CE50FD">
        <w:t>[13] A. Khosrozadeh, M.A. Darabi, M. Xing, Q.J.A.a.m. Wang, interfaces, Flexible electrode design: fabrication of freestanding polyaniline-based composite films for high-performance supercapacitors, 8(2016) 11379-89.</w:t>
      </w:r>
    </w:p>
    <w:p w14:paraId="4DDBC07A" w14:textId="77777777" w:rsidR="00CE50FD" w:rsidRPr="00CE50FD" w:rsidRDefault="00CE50FD" w:rsidP="00CE50FD">
      <w:pPr>
        <w:pStyle w:val="EndNoteBibliography"/>
        <w:spacing w:after="0"/>
      </w:pPr>
      <w:r w:rsidRPr="00CE50FD">
        <w:t>[14] J. Cheng, B. Zhao, W. Zhang, F. Shi, G. Zheng, D. Zhang, et al., High‐Performance Supercapacitor Applications of NiO‐Nanoparticle‐Decorated Millimeter‐Long Vertically Aligned Carbon Nanotube Arrays via an Effective Supercritical CO2‐Assisted Method, Advanced Functional Materials, 25(2015) 7381-91.</w:t>
      </w:r>
    </w:p>
    <w:p w14:paraId="7F3DFFEB" w14:textId="77777777" w:rsidR="00CE50FD" w:rsidRPr="00CE50FD" w:rsidRDefault="00CE50FD" w:rsidP="00CE50FD">
      <w:pPr>
        <w:pStyle w:val="EndNoteBibliography"/>
        <w:spacing w:after="0"/>
      </w:pPr>
      <w:r w:rsidRPr="00CE50FD">
        <w:lastRenderedPageBreak/>
        <w:t>[15] J. Cheng, S. Chen, D. Chen, L. Dong, J. Wang, T. Zhang, et al., Editable asymmetric all-solid-state supercapacitors based on high-strength, flexible, and programmable 2D-metal–organic framework/reduced graphene oxide self-assembled papers, Journal of Materials Chemistry A, 6(2018) 20254-66.</w:t>
      </w:r>
    </w:p>
    <w:p w14:paraId="417D23C2" w14:textId="77777777" w:rsidR="00CE50FD" w:rsidRPr="00CE50FD" w:rsidRDefault="00CE50FD" w:rsidP="00CE50FD">
      <w:pPr>
        <w:pStyle w:val="EndNoteBibliography"/>
        <w:spacing w:after="0"/>
      </w:pPr>
      <w:r w:rsidRPr="00CE50FD">
        <w:t>[16] L. Yu, L. Hu, B. Anasori, Y.-T. Liu, Q. Zhu, P. Zhang, et al., MXene-bonded activated carbon as a flexible electrode for high-performance supercapacitors, ACS Energy Letters, 3(2018) 1597-603.</w:t>
      </w:r>
    </w:p>
    <w:p w14:paraId="1FEB8FA6" w14:textId="77777777" w:rsidR="00CE50FD" w:rsidRPr="00CE50FD" w:rsidRDefault="00CE50FD" w:rsidP="00CE50FD">
      <w:pPr>
        <w:pStyle w:val="EndNoteBibliography"/>
        <w:spacing w:after="0"/>
      </w:pPr>
      <w:r w:rsidRPr="00CE50FD">
        <w:t>[17] S. Wang, N. Liu, J. Su, L. Li, F. Long, Z. Zou, et al., Highly stretchable and self-healable supercapacitor with reduced graphene oxide based fiber springs, Acs Nano, 11(2017) 2066-74.</w:t>
      </w:r>
    </w:p>
    <w:p w14:paraId="559623C9" w14:textId="77777777" w:rsidR="00CE50FD" w:rsidRPr="00CE50FD" w:rsidRDefault="00CE50FD" w:rsidP="00CE50FD">
      <w:pPr>
        <w:pStyle w:val="EndNoteBibliography"/>
        <w:spacing w:after="0"/>
      </w:pPr>
      <w:r w:rsidRPr="00CE50FD">
        <w:t>[18] S. Ban, K. Malek, C. Huang, Z. Liu, A molecular model for carbon black primary particles with internal nanoporosity, Carbon, 49(2011) 3362-70.</w:t>
      </w:r>
    </w:p>
    <w:p w14:paraId="284DB306" w14:textId="77777777" w:rsidR="00CE50FD" w:rsidRPr="00CE50FD" w:rsidRDefault="00CE50FD" w:rsidP="00CE50FD">
      <w:pPr>
        <w:pStyle w:val="EndNoteBibliography"/>
        <w:spacing w:after="0"/>
      </w:pPr>
      <w:r w:rsidRPr="00CE50FD">
        <w:t>[19] T.A. Silva, F.C. Moraes, B.C. Janegitz, O.J.J.o.N. Fatibello-Filho, Electrochemical biosensors based on nanostructured carbon black: A review, 2017(2017).</w:t>
      </w:r>
    </w:p>
    <w:p w14:paraId="04F7A78F" w14:textId="77777777" w:rsidR="00CE50FD" w:rsidRPr="00CE50FD" w:rsidRDefault="00CE50FD" w:rsidP="00CE50FD">
      <w:pPr>
        <w:pStyle w:val="EndNoteBibliography"/>
        <w:spacing w:after="0"/>
      </w:pPr>
      <w:r w:rsidRPr="00CE50FD">
        <w:t>[20] K.P. Delgado, P.A. Raymundo-Pereira, A.M. Campos, O.N. Oliveira Jr., B.C. Janegitz, Ultralow Cost Electrochemical Sensor Made of Potato Starch and Carbon Black Nanoballs to Detect Tetracycline in Waters and Milk, 30(2018) 2153-9.</w:t>
      </w:r>
    </w:p>
    <w:p w14:paraId="241AA6E8" w14:textId="77777777" w:rsidR="00CE50FD" w:rsidRPr="00CE50FD" w:rsidRDefault="00CE50FD" w:rsidP="00CE50FD">
      <w:pPr>
        <w:pStyle w:val="EndNoteBibliography"/>
        <w:spacing w:after="0"/>
      </w:pPr>
      <w:r w:rsidRPr="00CE50FD">
        <w:t>[21] C. Phillips, A. Al-Ahmadi, S.-J. Potts, T. Claypole, D. Deganello, The effect of graphite and carbon black ratios on conductive ink performance, Journal of materials science, 52(2017) 9520-30.</w:t>
      </w:r>
    </w:p>
    <w:p w14:paraId="1F541C6D" w14:textId="77777777" w:rsidR="00CE50FD" w:rsidRPr="00CE50FD" w:rsidRDefault="00CE50FD" w:rsidP="00CE50FD">
      <w:pPr>
        <w:pStyle w:val="EndNoteBibliography"/>
        <w:spacing w:after="0"/>
      </w:pPr>
      <w:r w:rsidRPr="00CE50FD">
        <w:t>[22] D.M.E.a. Garcia, A.S.T.M. Pereira, A.n.C. Almeida, U.S. Roma, A.B.A. Soler, P.D. Lacharmoise, et al., Large-Area Paper Batteries with Ag and Zn/Ag Screen-Printed Electrodes, 4(2019) 16781-8.</w:t>
      </w:r>
    </w:p>
    <w:p w14:paraId="4D0CE3EB" w14:textId="77777777" w:rsidR="00CE50FD" w:rsidRPr="00CE50FD" w:rsidRDefault="00CE50FD" w:rsidP="00CE50FD">
      <w:pPr>
        <w:pStyle w:val="EndNoteBibliography"/>
        <w:spacing w:after="0"/>
      </w:pPr>
      <w:r w:rsidRPr="00CE50FD">
        <w:t>[23] D. Pech, M. Brunet, P.-L. Taberna, P. Simon, N. Fabre, F. Mesnilgrente, et al., Elaboration of a microstructured inkjet-printed carbon electrochemical capacitor, Journal of Power Sources, 195(2010) 1266-9.</w:t>
      </w:r>
    </w:p>
    <w:p w14:paraId="796E2448" w14:textId="77777777" w:rsidR="00CE50FD" w:rsidRPr="00CE50FD" w:rsidRDefault="00CE50FD" w:rsidP="00CE50FD">
      <w:pPr>
        <w:pStyle w:val="EndNoteBibliography"/>
        <w:spacing w:after="0"/>
      </w:pPr>
      <w:r w:rsidRPr="00CE50FD">
        <w:t>[24] F.J. Rodríguez, M.J. Galotto, A. Guarda, J.E. Bruna, Modification of cellulose acetate films using nanofillers based on organoclays, Journal of Food Engineering, 110(2012) 262-8.</w:t>
      </w:r>
    </w:p>
    <w:p w14:paraId="7F92781D" w14:textId="77777777" w:rsidR="00CE50FD" w:rsidRPr="00CE50FD" w:rsidRDefault="00CE50FD" w:rsidP="00CE50FD">
      <w:pPr>
        <w:pStyle w:val="EndNoteBibliography"/>
        <w:spacing w:after="0"/>
      </w:pPr>
      <w:r w:rsidRPr="00CE50FD">
        <w:t>[25] M.A. Wsoo, S. Shahir, S.P.M. Bohari, N.H.M. Nayan, S.I. Abd Razak, A review on the properties of electrospun cellulose acetate and its application in drug delivery systems: A new perspective, Carbohydrate research, 491(2020) 107978.</w:t>
      </w:r>
    </w:p>
    <w:p w14:paraId="561BCB7B" w14:textId="77777777" w:rsidR="00CE50FD" w:rsidRPr="00CE50FD" w:rsidRDefault="00CE50FD" w:rsidP="00CE50FD">
      <w:pPr>
        <w:pStyle w:val="EndNoteBibliography"/>
        <w:spacing w:after="0"/>
      </w:pPr>
      <w:r w:rsidRPr="00CE50FD">
        <w:t>[26] Y. Xu, Q. Hao, D. Mandler, Electrochemical detection of dopamine by a calixarene-cellulose acetate mixed Langmuir-Blodgett monolayer, Analytica chimica acta, 1042(2018) 29-36.</w:t>
      </w:r>
    </w:p>
    <w:p w14:paraId="7A944CF2" w14:textId="77777777" w:rsidR="00CE50FD" w:rsidRPr="00CE50FD" w:rsidRDefault="00CE50FD" w:rsidP="00CE50FD">
      <w:pPr>
        <w:pStyle w:val="EndNoteBibliography"/>
        <w:spacing w:after="0"/>
      </w:pPr>
      <w:r w:rsidRPr="00CE50FD">
        <w:t>[27] I.A. de Araujo Andreotti, L.O. Orzari, J.R. Camargo, R.C. Faria, L.H. Marcolino-Junior, M.F. Bergamini, et al., Disposable and flexible electrochemical sensor made by recyclable material and low cost conductive ink, 840(2019) 109-16.</w:t>
      </w:r>
    </w:p>
    <w:p w14:paraId="1CA9368C" w14:textId="77777777" w:rsidR="00CE50FD" w:rsidRPr="00CE50FD" w:rsidRDefault="00CE50FD" w:rsidP="00CE50FD">
      <w:pPr>
        <w:pStyle w:val="EndNoteBibliography"/>
        <w:spacing w:after="0"/>
      </w:pPr>
      <w:r w:rsidRPr="00CE50FD">
        <w:t>[28] T. Kondo, H. Sakamoto, T. Kato, M. Horitani, I. Shitanda, M. Itagaki, et al., Screen-printed diamond electrode: A disposable sensitive electrochemical electrode, Electrochemistry communications, 13(2011) 1546-9.</w:t>
      </w:r>
    </w:p>
    <w:p w14:paraId="6E810AA0" w14:textId="77777777" w:rsidR="00CE50FD" w:rsidRPr="00CE50FD" w:rsidRDefault="00CE50FD" w:rsidP="00CE50FD">
      <w:pPr>
        <w:pStyle w:val="EndNoteBibliography"/>
        <w:spacing w:after="0"/>
      </w:pPr>
      <w:r w:rsidRPr="00CE50FD">
        <w:t>[29] R.O. Kadara, N. Jenkinson, C.E. Banks, Characterization and fabrication of disposable screen printed microelectrodes, Electrochemistry Communications, 11(2009) 1377-80.</w:t>
      </w:r>
    </w:p>
    <w:p w14:paraId="37E7EA9A" w14:textId="77777777" w:rsidR="00CE50FD" w:rsidRPr="00CE50FD" w:rsidRDefault="00CE50FD" w:rsidP="00CE50FD">
      <w:pPr>
        <w:pStyle w:val="EndNoteBibliography"/>
        <w:spacing w:after="0"/>
      </w:pPr>
      <w:r w:rsidRPr="00CE50FD">
        <w:t>[30] D.S. Rocha, L.C. Duarte, H.A. Silva-Neto, C.L.S. Chagas, M.H.P. Santana, N.R. Antoniosi Filho, et al., Sandpaper-based electrochemical devices assembled on a reusable 3D-printed holder to detect date rape drug in beverages, Talanta, 232(2021) 122408.</w:t>
      </w:r>
    </w:p>
    <w:p w14:paraId="4DE1D9AD" w14:textId="77777777" w:rsidR="00CE50FD" w:rsidRPr="00CE50FD" w:rsidRDefault="00CE50FD" w:rsidP="00CE50FD">
      <w:pPr>
        <w:pStyle w:val="EndNoteBibliography"/>
        <w:spacing w:after="0"/>
      </w:pPr>
      <w:r w:rsidRPr="00CE50FD">
        <w:t>[31] H. Li, W. Wang, Q. Lv, G. Xi, H. Bai, Q. Zhang, Disposable paper-based electrochemical sensor based on stacked gold nanoparticles supported carbon nanotubes for the determination of bisphenol A, Electrochemistry Communications, 68(2016) 104-7.</w:t>
      </w:r>
    </w:p>
    <w:p w14:paraId="6C1555EA" w14:textId="77777777" w:rsidR="00CE50FD" w:rsidRPr="00CE50FD" w:rsidRDefault="00CE50FD" w:rsidP="00CE50FD">
      <w:pPr>
        <w:pStyle w:val="EndNoteBibliography"/>
        <w:spacing w:after="0"/>
      </w:pPr>
      <w:r w:rsidRPr="00CE50FD">
        <w:t>[32] J.R. Camargo, I.A.A. Andreotti, C. Kalinke, J.M. Henrique, J.A. Bonacin, B.C. Janegitz, Waterproof paper as a new substrate to construct a disposable sensor for the electrochemical determination of paracetamol and melatonin, Talanta, 208(2020) 120458.</w:t>
      </w:r>
    </w:p>
    <w:p w14:paraId="339FED2E" w14:textId="77777777" w:rsidR="00CE50FD" w:rsidRPr="00CE50FD" w:rsidRDefault="00CE50FD" w:rsidP="00CE50FD">
      <w:pPr>
        <w:pStyle w:val="EndNoteBibliography"/>
        <w:spacing w:after="0"/>
      </w:pPr>
      <w:r w:rsidRPr="00CE50FD">
        <w:t>[33] L.O. Orzari, I.A. de Araujo Andreotti, M.F. Bergamini, L.H.M. Junior, B.C. Janegitz, Disposable electrode obtained by pencil drawing on corrugated fiberboard substrate, Sensors and Actuators B: Chemical, 264(2018) 20-6.</w:t>
      </w:r>
    </w:p>
    <w:p w14:paraId="49297AA4" w14:textId="77777777" w:rsidR="00CE50FD" w:rsidRPr="00CE50FD" w:rsidRDefault="00CE50FD" w:rsidP="00CE50FD">
      <w:pPr>
        <w:pStyle w:val="EndNoteBibliography"/>
        <w:spacing w:after="0"/>
      </w:pPr>
      <w:r w:rsidRPr="00CE50FD">
        <w:lastRenderedPageBreak/>
        <w:t>[34] J.H.S. Carvalho, J.L. Gogola, M.F. Bergamini, L.H. Marcolino-Junior, B.C. Janegitz, Disposable and low-cost lab-made screen-printed electrodes for voltammetric determination of L-dopa, Sensors and Actuators Reports, 3(2021) 100056.</w:t>
      </w:r>
    </w:p>
    <w:p w14:paraId="5AF4EE23" w14:textId="77777777" w:rsidR="00CE50FD" w:rsidRPr="00CE50FD" w:rsidRDefault="00CE50FD" w:rsidP="00CE50FD">
      <w:pPr>
        <w:pStyle w:val="EndNoteBibliography"/>
        <w:spacing w:after="0"/>
      </w:pPr>
      <w:r w:rsidRPr="00CE50FD">
        <w:t>[35] B. Liu, H. Shioyama, H. Jiang, X. Zhang, Q. Xu, Metal-organic framework (MOF) as a template for syntheses of nanoporous carbons as electrode materials for supercapacitor, Carbon, 48(2010) 456-63.</w:t>
      </w:r>
    </w:p>
    <w:p w14:paraId="5F38A794" w14:textId="77777777" w:rsidR="00CE50FD" w:rsidRPr="00CE50FD" w:rsidRDefault="00CE50FD" w:rsidP="00CE50FD">
      <w:pPr>
        <w:pStyle w:val="EndNoteBibliography"/>
        <w:spacing w:after="0"/>
      </w:pPr>
      <w:r w:rsidRPr="00CE50FD">
        <w:t>[36] I. Danaee, M. Jafarian, F. Forouzandeh, F. Gobal, M.G. Mahjani, Electrochemical impedance studies of methanol oxidation on GC/Ni and GC/NiCu electrode, International Journal of Hydrogen Energy, 34(2009) 859-69.</w:t>
      </w:r>
    </w:p>
    <w:p w14:paraId="1F2DF1B5" w14:textId="77777777" w:rsidR="00CE50FD" w:rsidRPr="00CE50FD" w:rsidRDefault="00CE50FD" w:rsidP="00CE50FD">
      <w:pPr>
        <w:pStyle w:val="EndNoteBibliography"/>
        <w:spacing w:after="0"/>
      </w:pPr>
      <w:r w:rsidRPr="00CE50FD">
        <w:t>[37] A. Krause, P. Kossyrev, M. Oljaca, S. Passerini, M. Winter, A. Balducci, Electrochemical double layer capacitor and lithium-ion capacitor based on carbon black, Journal of Power Sources, 196(2011) 8836-42.</w:t>
      </w:r>
    </w:p>
    <w:p w14:paraId="63D667C9" w14:textId="77777777" w:rsidR="00CE50FD" w:rsidRPr="00CE50FD" w:rsidRDefault="00CE50FD" w:rsidP="00CE50FD">
      <w:pPr>
        <w:pStyle w:val="EndNoteBibliography"/>
        <w:spacing w:after="0"/>
      </w:pPr>
      <w:r w:rsidRPr="00CE50FD">
        <w:t>[38] X. Ma, X. Song, Z. Yu, S. Li, X. Wang, L. Zhao, et al., S-doping coupled with pore-structure modulation to conducting carbon black: Toward high mass loading electrical double-layer capacitor, Carbon, 149(2019) 646-54.</w:t>
      </w:r>
    </w:p>
    <w:p w14:paraId="0EC56779" w14:textId="77777777" w:rsidR="00CE50FD" w:rsidRPr="00CE50FD" w:rsidRDefault="00CE50FD" w:rsidP="00CE50FD">
      <w:pPr>
        <w:pStyle w:val="EndNoteBibliography"/>
        <w:spacing w:after="0"/>
      </w:pPr>
      <w:r w:rsidRPr="00CE50FD">
        <w:t>[39] A. Khamkeaw, T. Asavamongkolkul, T. Perngyai, B. Jongsomjit, M. Phisalaphong, Interconnected Micro, Meso, and Macro Porous Activated Carbon from Bacterial Nanocellulose for Superior Adsorption Properties and Effective Catalytic Performance, Molecules, 25(2020) 4063.</w:t>
      </w:r>
    </w:p>
    <w:p w14:paraId="7D30FC34" w14:textId="77777777" w:rsidR="00CE50FD" w:rsidRPr="00CE50FD" w:rsidRDefault="00CE50FD" w:rsidP="00CE50FD">
      <w:pPr>
        <w:pStyle w:val="EndNoteBibliography"/>
        <w:spacing w:after="0"/>
      </w:pPr>
      <w:r w:rsidRPr="00CE50FD">
        <w:t>[40] M. Toupin, D. Bélanger, I.R. Hill, D. Quinn, Performance of experimental carbon blacks in aqueous supercapacitors, Journal of power sources, 140(2005) 203-10.</w:t>
      </w:r>
    </w:p>
    <w:p w14:paraId="00C38B29" w14:textId="77777777" w:rsidR="00CE50FD" w:rsidRPr="00CE50FD" w:rsidRDefault="00CE50FD" w:rsidP="00CE50FD">
      <w:pPr>
        <w:pStyle w:val="EndNoteBibliography"/>
        <w:spacing w:after="0"/>
      </w:pPr>
      <w:r w:rsidRPr="00CE50FD">
        <w:t>[41] E. Frackowiak, F. Beguin, Carbon materials for the electrochemical storage of energy in capacitors, Carbon, 39(2001) 937-50.</w:t>
      </w:r>
    </w:p>
    <w:p w14:paraId="501568B9" w14:textId="77777777" w:rsidR="00CE50FD" w:rsidRPr="00CE50FD" w:rsidRDefault="00CE50FD" w:rsidP="00CE50FD">
      <w:pPr>
        <w:pStyle w:val="EndNoteBibliography"/>
        <w:spacing w:after="0"/>
      </w:pPr>
      <w:r w:rsidRPr="00CE50FD">
        <w:t>[42] B.E. Conway, Electrochemical supercapacitors: scientific fundamentals and technological applications: Springer Science &amp; Business Media; 2013.</w:t>
      </w:r>
    </w:p>
    <w:p w14:paraId="45098EF9" w14:textId="77777777" w:rsidR="00CE50FD" w:rsidRPr="00CE50FD" w:rsidRDefault="00CE50FD" w:rsidP="00CE50FD">
      <w:pPr>
        <w:pStyle w:val="EndNoteBibliography"/>
        <w:spacing w:after="0"/>
      </w:pPr>
      <w:r w:rsidRPr="00CE50FD">
        <w:t>[43] M.E. Orazem, B. Tribollet, Electrochemical impedance spectroscopy, New Jersey, (2008) 383-9.</w:t>
      </w:r>
    </w:p>
    <w:p w14:paraId="4FE2D8F6" w14:textId="77777777" w:rsidR="00CE50FD" w:rsidRPr="00CE50FD" w:rsidRDefault="00CE50FD" w:rsidP="00CE50FD">
      <w:pPr>
        <w:pStyle w:val="EndNoteBibliography"/>
        <w:spacing w:after="0"/>
      </w:pPr>
      <w:r w:rsidRPr="00CE50FD">
        <w:t>[44] A. Lasia, Electrochemical impedance spectroscopy and its applications,  Modern aspects of electrochemistry, Springer2002, pp. 143-248.</w:t>
      </w:r>
    </w:p>
    <w:p w14:paraId="36216A1A" w14:textId="77777777" w:rsidR="00CE50FD" w:rsidRPr="00CE50FD" w:rsidRDefault="00CE50FD" w:rsidP="00CE50FD">
      <w:pPr>
        <w:pStyle w:val="EndNoteBibliography"/>
        <w:spacing w:after="0"/>
      </w:pPr>
      <w:r w:rsidRPr="00CE50FD">
        <w:t>[45] M. Nasibi, M.A. Golozar, G. Rashed, Nano zirconium oxide/carbon black as a new electrode material for electrochemical double layer capacitors, Journal of Power Sources, 206(2012) 108-10.</w:t>
      </w:r>
    </w:p>
    <w:p w14:paraId="1F5FEE68" w14:textId="77777777" w:rsidR="00CE50FD" w:rsidRPr="00CE50FD" w:rsidRDefault="00CE50FD" w:rsidP="00CE50FD">
      <w:pPr>
        <w:pStyle w:val="EndNoteBibliography"/>
        <w:spacing w:after="0"/>
      </w:pPr>
      <w:r w:rsidRPr="00CE50FD">
        <w:t>[46] J. Bobacka, A. Lewenstam, A. Ivaska, Electrochemical impedance spectroscopy of oxidized poly (3, 4-ethylenedioxythiophene) film electrodes in aqueous solutions, Journal of Electroanalytical Chemistry, 489(2000) 17-27.</w:t>
      </w:r>
    </w:p>
    <w:p w14:paraId="026A07C1" w14:textId="77777777" w:rsidR="00CE50FD" w:rsidRPr="00CE50FD" w:rsidRDefault="00CE50FD" w:rsidP="00CE50FD">
      <w:pPr>
        <w:pStyle w:val="EndNoteBibliography"/>
        <w:spacing w:after="0"/>
      </w:pPr>
      <w:r w:rsidRPr="00CE50FD">
        <w:t>[47] C. Zhang, Y. Xie, J. Wang, A. Pentecost, D. Long, L. Ling, et al., Effect of graphitic structure on electrochemical ion intercalation into positive and negative electrodes, Journal of Solid State Electrochemistry, 18(2014) 2673-82.</w:t>
      </w:r>
    </w:p>
    <w:p w14:paraId="606DD09E" w14:textId="77777777" w:rsidR="00CE50FD" w:rsidRPr="00CE50FD" w:rsidRDefault="00CE50FD" w:rsidP="00CE50FD">
      <w:pPr>
        <w:pStyle w:val="EndNoteBibliography"/>
        <w:spacing w:after="0"/>
      </w:pPr>
      <w:r w:rsidRPr="00CE50FD">
        <w:t>[48] J.B. Mitchell, Understanding the Role of Structural Water for High Power Electrochemical Energy Storage in Tungsten Oxide Hydrates: North Carolina State University; 2021.</w:t>
      </w:r>
    </w:p>
    <w:p w14:paraId="5FDC2669" w14:textId="77777777" w:rsidR="00CE50FD" w:rsidRPr="00CE50FD" w:rsidRDefault="00CE50FD" w:rsidP="00CE50FD">
      <w:pPr>
        <w:pStyle w:val="EndNoteBibliography"/>
        <w:spacing w:after="0"/>
      </w:pPr>
      <w:r w:rsidRPr="00CE50FD">
        <w:t>[49] K.P.D. Orellana, Low Cost, Carbon-Based Micro-and Nano-Structured Electrodes for High Performance Supercapacitors, (2016).</w:t>
      </w:r>
    </w:p>
    <w:p w14:paraId="5EBA974F" w14:textId="77777777" w:rsidR="00CE50FD" w:rsidRPr="00CE50FD" w:rsidRDefault="00CE50FD" w:rsidP="00CE50FD">
      <w:pPr>
        <w:pStyle w:val="EndNoteBibliography"/>
        <w:spacing w:after="0"/>
      </w:pPr>
      <w:r w:rsidRPr="00CE50FD">
        <w:t>[50] F. Thissandier, A. Le Comte, O. Crosnier, P. Gentile, G. Bidan, E. Hadji, et al., Highly doped silicon nanowires based electrodes for micro-electrochemical capacitor applications, Electrochemistry Communications, 25(2012) 109-11.</w:t>
      </w:r>
    </w:p>
    <w:p w14:paraId="169CFD01" w14:textId="77777777" w:rsidR="00CE50FD" w:rsidRPr="00CE50FD" w:rsidRDefault="00CE50FD" w:rsidP="00CE50FD">
      <w:pPr>
        <w:pStyle w:val="EndNoteBibliography"/>
        <w:spacing w:after="0"/>
      </w:pPr>
      <w:r w:rsidRPr="00CE50FD">
        <w:t>[51] Y. Zou, Z. Zhang, W. Zhong, W. Yang, Hydrothermal direct synthesis of polyaniline, graphene/polyaniline and N-doped graphene/polyaniline hydrogels for high performance flexible supercapacitors, Journal of Materials Chemistry A, 6(2018) 9245-56.</w:t>
      </w:r>
    </w:p>
    <w:p w14:paraId="32956340" w14:textId="77777777" w:rsidR="00CE50FD" w:rsidRPr="00CE50FD" w:rsidRDefault="00CE50FD" w:rsidP="00CE50FD">
      <w:pPr>
        <w:pStyle w:val="EndNoteBibliography"/>
        <w:spacing w:after="0"/>
      </w:pPr>
      <w:r w:rsidRPr="00CE50FD">
        <w:t>[52] J. Zhou, T. Zhu, W. Xing, Z. Li, H. Shen, S. Zhuo, Activated polyaniline-based carbon nanoparticles for high performance supercapacitors, Electrochimica Acta, 160(2015) 152-9.</w:t>
      </w:r>
    </w:p>
    <w:p w14:paraId="6E6BFFAF" w14:textId="77777777" w:rsidR="00CE50FD" w:rsidRPr="00CE50FD" w:rsidRDefault="00CE50FD" w:rsidP="00CE50FD">
      <w:pPr>
        <w:pStyle w:val="EndNoteBibliography"/>
        <w:spacing w:after="0"/>
      </w:pPr>
      <w:r w:rsidRPr="00CE50FD">
        <w:t>[53] G. de Souza Augusto, J. Scarmínio, P.R.C. Silva, A. de Siervo, C.S. Rout, F. Rouxinol, et al., Flexible metal-free supercapacitors based on multilayer graphene electrodes, Electrochimica Acta, 285(2018) 241-53.</w:t>
      </w:r>
    </w:p>
    <w:p w14:paraId="663B9FC3" w14:textId="77777777" w:rsidR="00CE50FD" w:rsidRPr="00CE50FD" w:rsidRDefault="00CE50FD" w:rsidP="00CE50FD">
      <w:pPr>
        <w:pStyle w:val="EndNoteBibliography"/>
        <w:spacing w:after="0"/>
      </w:pPr>
      <w:r w:rsidRPr="00CE50FD">
        <w:t>[54] E. Eustache, R. Frappier, R.L. Porto, S. Bouhtiyya, J.-F. Pierson, T. Brousse, Asymmetric electrochemical capacitor microdevice designed with vanadium nitride and nickel oxide thin film electrodes, Electrochemistry communications, 28(2013) 104-6.</w:t>
      </w:r>
    </w:p>
    <w:p w14:paraId="4F42F25E" w14:textId="77777777" w:rsidR="00CE50FD" w:rsidRPr="00CE50FD" w:rsidRDefault="00CE50FD" w:rsidP="00CE50FD">
      <w:pPr>
        <w:pStyle w:val="EndNoteBibliography"/>
      </w:pPr>
      <w:r w:rsidRPr="00CE50FD">
        <w:lastRenderedPageBreak/>
        <w:t>[55] J. Lee, Y.A. Lee, C.-Y. Yoo, J.J. Yoo, R. Gwak, W.K. Cho, et al., Self-templated synthesis of interconnected porous carbon nanosheets with controllable pore size: Mechanism and electrochemical capacitor application, 261(2018) 119-25.</w:t>
      </w:r>
    </w:p>
    <w:p w14:paraId="50A06CA0" w14:textId="5249467C" w:rsidR="004E1718" w:rsidRDefault="001000FA" w:rsidP="005D73BD">
      <w:pPr>
        <w:pStyle w:val="MDPI71References"/>
        <w:numPr>
          <w:ilvl w:val="0"/>
          <w:numId w:val="0"/>
        </w:numPr>
      </w:pPr>
      <w:r>
        <w:fldChar w:fldCharType="end"/>
      </w:r>
    </w:p>
    <w:sectPr w:rsidR="004E1718" w:rsidSect="00F35B1B">
      <w:headerReference w:type="even" r:id="rId14"/>
      <w:headerReference w:type="default" r:id="rId15"/>
      <w:headerReference w:type="first" r:id="rId16"/>
      <w:footerReference w:type="first" r:id="rId17"/>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7540B" w14:textId="77777777" w:rsidR="00A51B04" w:rsidRDefault="00A51B04">
      <w:pPr>
        <w:spacing w:line="240" w:lineRule="auto"/>
      </w:pPr>
      <w:r>
        <w:separator/>
      </w:r>
    </w:p>
  </w:endnote>
  <w:endnote w:type="continuationSeparator" w:id="0">
    <w:p w14:paraId="01BA04C4" w14:textId="77777777" w:rsidR="00A51B04" w:rsidRDefault="00A51B0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8FE1D" w14:textId="77777777" w:rsidR="001F2D8C" w:rsidRDefault="001F2D8C" w:rsidP="002633D7">
    <w:pPr>
      <w:pBdr>
        <w:top w:val="single" w:sz="4" w:space="0" w:color="000000"/>
      </w:pBdr>
      <w:tabs>
        <w:tab w:val="right" w:pos="8844"/>
      </w:tabs>
      <w:adjustRightInd w:val="0"/>
      <w:snapToGrid w:val="0"/>
      <w:spacing w:before="480" w:line="100" w:lineRule="exact"/>
      <w:jc w:val="left"/>
      <w:rPr>
        <w:i/>
        <w:sz w:val="16"/>
        <w:szCs w:val="16"/>
      </w:rPr>
    </w:pPr>
  </w:p>
  <w:p w14:paraId="23396798" w14:textId="77777777" w:rsidR="009B492F" w:rsidRPr="00372FCD" w:rsidRDefault="009B492F" w:rsidP="00987F63">
    <w:pPr>
      <w:tabs>
        <w:tab w:val="right" w:pos="10466"/>
      </w:tabs>
      <w:adjustRightInd w:val="0"/>
      <w:snapToGrid w:val="0"/>
      <w:spacing w:line="240" w:lineRule="auto"/>
      <w:rPr>
        <w:sz w:val="16"/>
        <w:szCs w:val="16"/>
        <w:lang w:val="fr-CH"/>
      </w:rPr>
    </w:pPr>
    <w:r>
      <w:rPr>
        <w:i/>
        <w:sz w:val="16"/>
        <w:szCs w:val="16"/>
      </w:rPr>
      <w:t>C</w:t>
    </w:r>
    <w:r w:rsidRPr="00B65510">
      <w:rPr>
        <w:iCs/>
        <w:sz w:val="16"/>
        <w:szCs w:val="16"/>
      </w:rPr>
      <w:t xml:space="preserve"> </w:t>
    </w:r>
    <w:r w:rsidR="00847FA1">
      <w:rPr>
        <w:b/>
        <w:bCs/>
        <w:iCs/>
        <w:sz w:val="16"/>
        <w:szCs w:val="16"/>
      </w:rPr>
      <w:t>2022</w:t>
    </w:r>
    <w:r w:rsidR="00990A0F" w:rsidRPr="00990A0F">
      <w:rPr>
        <w:bCs/>
        <w:iCs/>
        <w:sz w:val="16"/>
        <w:szCs w:val="16"/>
      </w:rPr>
      <w:t>,</w:t>
    </w:r>
    <w:r w:rsidR="00847FA1">
      <w:rPr>
        <w:bCs/>
        <w:i/>
        <w:iCs/>
        <w:sz w:val="16"/>
        <w:szCs w:val="16"/>
      </w:rPr>
      <w:t xml:space="preserve"> 8</w:t>
    </w:r>
    <w:r w:rsidR="00990A0F" w:rsidRPr="00990A0F">
      <w:rPr>
        <w:bCs/>
        <w:iCs/>
        <w:sz w:val="16"/>
        <w:szCs w:val="16"/>
      </w:rPr>
      <w:t xml:space="preserve">, </w:t>
    </w:r>
    <w:r w:rsidR="00BB72E6">
      <w:rPr>
        <w:bCs/>
        <w:iCs/>
        <w:sz w:val="16"/>
        <w:szCs w:val="16"/>
      </w:rPr>
      <w:t>x</w:t>
    </w:r>
    <w:r w:rsidR="001F2D8C">
      <w:rPr>
        <w:bCs/>
        <w:iCs/>
        <w:sz w:val="16"/>
        <w:szCs w:val="16"/>
      </w:rPr>
      <w:t>. https://doi.org/10.3390/xxxxx</w:t>
    </w:r>
    <w:r w:rsidR="00987F63" w:rsidRPr="00C0032D">
      <w:rPr>
        <w:sz w:val="16"/>
        <w:szCs w:val="16"/>
        <w:lang w:val="fr-CH"/>
      </w:rPr>
      <w:tab/>
    </w:r>
    <w:r w:rsidRPr="00C0032D">
      <w:rPr>
        <w:sz w:val="16"/>
        <w:szCs w:val="16"/>
        <w:lang w:val="fr-CH"/>
      </w:rPr>
      <w:t>www.mdpi.com/journal/carbon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20BFF" w14:textId="77777777" w:rsidR="00A51B04" w:rsidRDefault="00A51B04">
      <w:pPr>
        <w:spacing w:line="240" w:lineRule="auto"/>
      </w:pPr>
      <w:r>
        <w:separator/>
      </w:r>
    </w:p>
  </w:footnote>
  <w:footnote w:type="continuationSeparator" w:id="0">
    <w:p w14:paraId="3AB438F7" w14:textId="77777777" w:rsidR="00A51B04" w:rsidRDefault="00A51B0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0EC9E" w14:textId="77777777" w:rsidR="009B492F" w:rsidRDefault="009B492F" w:rsidP="009B492F">
    <w:pPr>
      <w:pStyle w:val="Cabealh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31E1B" w14:textId="77777777" w:rsidR="001F2D8C" w:rsidRDefault="009B492F" w:rsidP="00987F63">
    <w:pPr>
      <w:tabs>
        <w:tab w:val="right" w:pos="10466"/>
      </w:tabs>
      <w:adjustRightInd w:val="0"/>
      <w:snapToGrid w:val="0"/>
      <w:spacing w:line="240" w:lineRule="auto"/>
      <w:rPr>
        <w:sz w:val="16"/>
      </w:rPr>
    </w:pPr>
    <w:r>
      <w:rPr>
        <w:i/>
        <w:sz w:val="16"/>
      </w:rPr>
      <w:t xml:space="preserve">C </w:t>
    </w:r>
    <w:r w:rsidR="00847FA1">
      <w:rPr>
        <w:b/>
        <w:sz w:val="16"/>
      </w:rPr>
      <w:t>2022</w:t>
    </w:r>
    <w:r w:rsidR="00990A0F" w:rsidRPr="00990A0F">
      <w:rPr>
        <w:sz w:val="16"/>
      </w:rPr>
      <w:t>,</w:t>
    </w:r>
    <w:r w:rsidR="00847FA1">
      <w:rPr>
        <w:i/>
        <w:sz w:val="16"/>
      </w:rPr>
      <w:t xml:space="preserve"> 8</w:t>
    </w:r>
    <w:r w:rsidR="00BB72E6">
      <w:rPr>
        <w:sz w:val="16"/>
      </w:rPr>
      <w:t>, x FOR PEER REVIEW</w:t>
    </w:r>
    <w:r w:rsidR="00987F63">
      <w:rPr>
        <w:sz w:val="16"/>
      </w:rPr>
      <w:tab/>
    </w:r>
    <w:r w:rsidR="00BB72E6">
      <w:rPr>
        <w:sz w:val="16"/>
      </w:rPr>
      <w:fldChar w:fldCharType="begin"/>
    </w:r>
    <w:r w:rsidR="00BB72E6">
      <w:rPr>
        <w:sz w:val="16"/>
      </w:rPr>
      <w:instrText xml:space="preserve"> PAGE   \* MERGEFORMAT </w:instrText>
    </w:r>
    <w:r w:rsidR="00BB72E6">
      <w:rPr>
        <w:sz w:val="16"/>
      </w:rPr>
      <w:fldChar w:fldCharType="separate"/>
    </w:r>
    <w:r w:rsidR="00A546F0">
      <w:rPr>
        <w:sz w:val="16"/>
      </w:rPr>
      <w:t>4</w:t>
    </w:r>
    <w:r w:rsidR="00BB72E6">
      <w:rPr>
        <w:sz w:val="16"/>
      </w:rPr>
      <w:fldChar w:fldCharType="end"/>
    </w:r>
    <w:r w:rsidR="00BB72E6">
      <w:rPr>
        <w:sz w:val="16"/>
      </w:rPr>
      <w:t xml:space="preserve"> of </w:t>
    </w:r>
    <w:r w:rsidR="00BB72E6">
      <w:rPr>
        <w:sz w:val="16"/>
      </w:rPr>
      <w:fldChar w:fldCharType="begin"/>
    </w:r>
    <w:r w:rsidR="00BB72E6">
      <w:rPr>
        <w:sz w:val="16"/>
      </w:rPr>
      <w:instrText xml:space="preserve"> NUMPAGES   \* MERGEFORMAT </w:instrText>
    </w:r>
    <w:r w:rsidR="00BB72E6">
      <w:rPr>
        <w:sz w:val="16"/>
      </w:rPr>
      <w:fldChar w:fldCharType="separate"/>
    </w:r>
    <w:r w:rsidR="00A546F0">
      <w:rPr>
        <w:sz w:val="16"/>
      </w:rPr>
      <w:t>5</w:t>
    </w:r>
    <w:r w:rsidR="00BB72E6">
      <w:rPr>
        <w:sz w:val="16"/>
      </w:rPr>
      <w:fldChar w:fldCharType="end"/>
    </w:r>
  </w:p>
  <w:p w14:paraId="30A6C86E" w14:textId="77777777" w:rsidR="009B492F" w:rsidRPr="0081414C" w:rsidRDefault="009B492F" w:rsidP="002633D7">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1F2D8C" w:rsidRPr="00987F63" w14:paraId="3FDD6F10" w14:textId="77777777" w:rsidTr="00293382">
      <w:trPr>
        <w:trHeight w:val="686"/>
      </w:trPr>
      <w:tc>
        <w:tcPr>
          <w:tcW w:w="3679" w:type="dxa"/>
          <w:shd w:val="clear" w:color="auto" w:fill="auto"/>
          <w:vAlign w:val="center"/>
        </w:tcPr>
        <w:p w14:paraId="599CAF35" w14:textId="77777777" w:rsidR="001F2D8C" w:rsidRPr="00CE602D" w:rsidRDefault="00CC41E4" w:rsidP="00987F63">
          <w:pPr>
            <w:pStyle w:val="Cabealho"/>
            <w:pBdr>
              <w:bottom w:val="none" w:sz="0" w:space="0" w:color="auto"/>
            </w:pBdr>
            <w:jc w:val="left"/>
            <w:rPr>
              <w:rFonts w:eastAsia="DengXian"/>
              <w:b/>
              <w:bCs/>
            </w:rPr>
          </w:pPr>
          <w:r w:rsidRPr="00CE602D">
            <w:rPr>
              <w:rFonts w:eastAsia="DengXian"/>
              <w:b/>
              <w:bCs/>
            </w:rPr>
            <w:drawing>
              <wp:inline distT="0" distB="0" distL="0" distR="0" wp14:anchorId="40B16821" wp14:editId="70F4A249">
                <wp:extent cx="1738630" cy="429260"/>
                <wp:effectExtent l="0" t="0" r="0" b="0"/>
                <wp:docPr id="1" name="Picture 5" descr="C:\Users\home\Desktop\logos\c-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c-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8630" cy="429260"/>
                        </a:xfrm>
                        <a:prstGeom prst="rect">
                          <a:avLst/>
                        </a:prstGeom>
                        <a:noFill/>
                        <a:ln>
                          <a:noFill/>
                        </a:ln>
                      </pic:spPr>
                    </pic:pic>
                  </a:graphicData>
                </a:graphic>
              </wp:inline>
            </w:drawing>
          </w:r>
        </w:p>
      </w:tc>
      <w:tc>
        <w:tcPr>
          <w:tcW w:w="4535" w:type="dxa"/>
          <w:shd w:val="clear" w:color="auto" w:fill="auto"/>
          <w:vAlign w:val="center"/>
        </w:tcPr>
        <w:p w14:paraId="6AFA698E" w14:textId="77777777" w:rsidR="001F2D8C" w:rsidRPr="00CE602D" w:rsidRDefault="001F2D8C" w:rsidP="00987F63">
          <w:pPr>
            <w:pStyle w:val="Cabealho"/>
            <w:pBdr>
              <w:bottom w:val="none" w:sz="0" w:space="0" w:color="auto"/>
            </w:pBdr>
            <w:rPr>
              <w:rFonts w:eastAsia="DengXian"/>
              <w:b/>
              <w:bCs/>
            </w:rPr>
          </w:pPr>
        </w:p>
      </w:tc>
      <w:tc>
        <w:tcPr>
          <w:tcW w:w="2273" w:type="dxa"/>
          <w:shd w:val="clear" w:color="auto" w:fill="auto"/>
          <w:vAlign w:val="center"/>
        </w:tcPr>
        <w:p w14:paraId="23B05C9B" w14:textId="77777777" w:rsidR="001F2D8C" w:rsidRPr="00CE602D" w:rsidRDefault="00293382" w:rsidP="00293382">
          <w:pPr>
            <w:pStyle w:val="Cabealho"/>
            <w:pBdr>
              <w:bottom w:val="none" w:sz="0" w:space="0" w:color="auto"/>
            </w:pBdr>
            <w:jc w:val="right"/>
            <w:rPr>
              <w:rFonts w:eastAsia="DengXian"/>
              <w:b/>
              <w:bCs/>
            </w:rPr>
          </w:pPr>
          <w:r>
            <w:rPr>
              <w:rFonts w:eastAsia="DengXian"/>
              <w:b/>
              <w:bCs/>
            </w:rPr>
            <w:drawing>
              <wp:inline distT="0" distB="0" distL="0" distR="0" wp14:anchorId="7402C4BA" wp14:editId="2941F74D">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2CFAA0F7" w14:textId="77777777" w:rsidR="009B492F" w:rsidRPr="001F2D8C" w:rsidRDefault="009B492F" w:rsidP="002633D7">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7632C4BA"/>
    <w:lvl w:ilvl="0" w:tplc="E1A4FC66">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75A5B31"/>
    <w:multiLevelType w:val="hybridMultilevel"/>
    <w:tmpl w:val="7A22F2F0"/>
    <w:lvl w:ilvl="0" w:tplc="3D4C0A90">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554D8F"/>
    <w:multiLevelType w:val="hybridMultilevel"/>
    <w:tmpl w:val="4A74DCE8"/>
    <w:lvl w:ilvl="0" w:tplc="8C1EC3F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7"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9952502"/>
    <w:multiLevelType w:val="hybridMultilevel"/>
    <w:tmpl w:val="DE3E76D8"/>
    <w:lvl w:ilvl="0" w:tplc="9AA6506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1460430">
    <w:abstractNumId w:val="4"/>
  </w:num>
  <w:num w:numId="2" w16cid:durableId="1386952313">
    <w:abstractNumId w:val="8"/>
  </w:num>
  <w:num w:numId="3" w16cid:durableId="1121999643">
    <w:abstractNumId w:val="2"/>
  </w:num>
  <w:num w:numId="4" w16cid:durableId="1263227731">
    <w:abstractNumId w:val="5"/>
  </w:num>
  <w:num w:numId="5" w16cid:durableId="776826367">
    <w:abstractNumId w:val="10"/>
  </w:num>
  <w:num w:numId="6" w16cid:durableId="1638221526">
    <w:abstractNumId w:val="1"/>
  </w:num>
  <w:num w:numId="7" w16cid:durableId="405035866">
    <w:abstractNumId w:val="10"/>
  </w:num>
  <w:num w:numId="8" w16cid:durableId="1973827470">
    <w:abstractNumId w:val="1"/>
  </w:num>
  <w:num w:numId="9" w16cid:durableId="1617904607">
    <w:abstractNumId w:val="10"/>
  </w:num>
  <w:num w:numId="10" w16cid:durableId="1046106811">
    <w:abstractNumId w:val="1"/>
  </w:num>
  <w:num w:numId="11" w16cid:durableId="14498104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5199565">
    <w:abstractNumId w:val="11"/>
  </w:num>
  <w:num w:numId="13" w16cid:durableId="1753552621">
    <w:abstractNumId w:val="10"/>
  </w:num>
  <w:num w:numId="14" w16cid:durableId="1660578058">
    <w:abstractNumId w:val="1"/>
  </w:num>
  <w:num w:numId="15" w16cid:durableId="1320621730">
    <w:abstractNumId w:val="0"/>
  </w:num>
  <w:num w:numId="16" w16cid:durableId="1420980745">
    <w:abstractNumId w:val="9"/>
  </w:num>
  <w:num w:numId="17" w16cid:durableId="2000956098">
    <w:abstractNumId w:val="0"/>
  </w:num>
  <w:num w:numId="18" w16cid:durableId="1863740626">
    <w:abstractNumId w:val="10"/>
  </w:num>
  <w:num w:numId="19" w16cid:durableId="852647750">
    <w:abstractNumId w:val="1"/>
  </w:num>
  <w:num w:numId="20" w16cid:durableId="232277097">
    <w:abstractNumId w:val="0"/>
  </w:num>
  <w:num w:numId="21" w16cid:durableId="1774781320">
    <w:abstractNumId w:val="3"/>
  </w:num>
  <w:num w:numId="22" w16cid:durableId="1100376636">
    <w:abstractNumId w:val="6"/>
  </w:num>
  <w:num w:numId="23" w16cid:durableId="1498351364">
    <w:abstractNumId w:val="12"/>
  </w:num>
  <w:num w:numId="24" w16cid:durableId="58229984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wtDQ3NzI0MjM0NTJR0lEKTi0uzszPAykwrQUAfpooFyw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item&gt;686&lt;/item&gt;&lt;item&gt;713&lt;/item&gt;&lt;item&gt;714&lt;/item&gt;&lt;item&gt;715&lt;/item&gt;&lt;item&gt;716&lt;/item&gt;&lt;item&gt;717&lt;/item&gt;&lt;/record-ids&gt;&lt;/item&gt;&lt;/Libraries&gt;"/>
  </w:docVars>
  <w:rsids>
    <w:rsidRoot w:val="00D577D3"/>
    <w:rsid w:val="00046411"/>
    <w:rsid w:val="000A1832"/>
    <w:rsid w:val="000B04F8"/>
    <w:rsid w:val="000C1522"/>
    <w:rsid w:val="000C59F3"/>
    <w:rsid w:val="000D58EE"/>
    <w:rsid w:val="000E6890"/>
    <w:rsid w:val="000E7429"/>
    <w:rsid w:val="000E77B9"/>
    <w:rsid w:val="001000FA"/>
    <w:rsid w:val="00111276"/>
    <w:rsid w:val="00121DAE"/>
    <w:rsid w:val="0012378D"/>
    <w:rsid w:val="001333EF"/>
    <w:rsid w:val="0016483B"/>
    <w:rsid w:val="00171771"/>
    <w:rsid w:val="00187320"/>
    <w:rsid w:val="001E2AEB"/>
    <w:rsid w:val="001F2D8C"/>
    <w:rsid w:val="001F7DFA"/>
    <w:rsid w:val="00214057"/>
    <w:rsid w:val="0021553E"/>
    <w:rsid w:val="00215B1E"/>
    <w:rsid w:val="00240F80"/>
    <w:rsid w:val="00241D2A"/>
    <w:rsid w:val="00256A5B"/>
    <w:rsid w:val="002633AB"/>
    <w:rsid w:val="002633D7"/>
    <w:rsid w:val="00273703"/>
    <w:rsid w:val="0029111A"/>
    <w:rsid w:val="00293382"/>
    <w:rsid w:val="002956A2"/>
    <w:rsid w:val="002A6166"/>
    <w:rsid w:val="002B1914"/>
    <w:rsid w:val="002B6DFB"/>
    <w:rsid w:val="002E471F"/>
    <w:rsid w:val="003024B4"/>
    <w:rsid w:val="003234BD"/>
    <w:rsid w:val="00326141"/>
    <w:rsid w:val="0034545E"/>
    <w:rsid w:val="00346ABD"/>
    <w:rsid w:val="00361D02"/>
    <w:rsid w:val="00372C1C"/>
    <w:rsid w:val="00390295"/>
    <w:rsid w:val="003C15EC"/>
    <w:rsid w:val="003F28FF"/>
    <w:rsid w:val="00401D30"/>
    <w:rsid w:val="004149B9"/>
    <w:rsid w:val="00440155"/>
    <w:rsid w:val="00447373"/>
    <w:rsid w:val="004533BE"/>
    <w:rsid w:val="00455EA7"/>
    <w:rsid w:val="00484F2A"/>
    <w:rsid w:val="004A5481"/>
    <w:rsid w:val="004B0CDD"/>
    <w:rsid w:val="004D654C"/>
    <w:rsid w:val="004E1718"/>
    <w:rsid w:val="004E52AA"/>
    <w:rsid w:val="00521481"/>
    <w:rsid w:val="00535698"/>
    <w:rsid w:val="00535B50"/>
    <w:rsid w:val="005758B7"/>
    <w:rsid w:val="005808A8"/>
    <w:rsid w:val="00580E63"/>
    <w:rsid w:val="005A2215"/>
    <w:rsid w:val="005D73BD"/>
    <w:rsid w:val="005E512A"/>
    <w:rsid w:val="00606881"/>
    <w:rsid w:val="00650DE1"/>
    <w:rsid w:val="00653E45"/>
    <w:rsid w:val="0066416B"/>
    <w:rsid w:val="006659FB"/>
    <w:rsid w:val="00673CBB"/>
    <w:rsid w:val="00674A22"/>
    <w:rsid w:val="00692393"/>
    <w:rsid w:val="006C6859"/>
    <w:rsid w:val="006D076B"/>
    <w:rsid w:val="006D6CA5"/>
    <w:rsid w:val="00700AD5"/>
    <w:rsid w:val="00705734"/>
    <w:rsid w:val="00714937"/>
    <w:rsid w:val="007254B0"/>
    <w:rsid w:val="00730045"/>
    <w:rsid w:val="007471A2"/>
    <w:rsid w:val="00752B8B"/>
    <w:rsid w:val="00764413"/>
    <w:rsid w:val="00770AE5"/>
    <w:rsid w:val="0077465A"/>
    <w:rsid w:val="007A3D12"/>
    <w:rsid w:val="00801186"/>
    <w:rsid w:val="00803654"/>
    <w:rsid w:val="0080598A"/>
    <w:rsid w:val="008156C6"/>
    <w:rsid w:val="00821AC1"/>
    <w:rsid w:val="00847FA1"/>
    <w:rsid w:val="008561EB"/>
    <w:rsid w:val="00885D02"/>
    <w:rsid w:val="008A2E97"/>
    <w:rsid w:val="008A2ECA"/>
    <w:rsid w:val="008B1715"/>
    <w:rsid w:val="00903BBA"/>
    <w:rsid w:val="009115A7"/>
    <w:rsid w:val="00914D5E"/>
    <w:rsid w:val="009166ED"/>
    <w:rsid w:val="009255AF"/>
    <w:rsid w:val="0092794B"/>
    <w:rsid w:val="00955541"/>
    <w:rsid w:val="00956BE1"/>
    <w:rsid w:val="00957EE6"/>
    <w:rsid w:val="00961132"/>
    <w:rsid w:val="00984364"/>
    <w:rsid w:val="00987F63"/>
    <w:rsid w:val="00990A0F"/>
    <w:rsid w:val="009B492F"/>
    <w:rsid w:val="009C4A61"/>
    <w:rsid w:val="009F2326"/>
    <w:rsid w:val="009F56B6"/>
    <w:rsid w:val="009F70E6"/>
    <w:rsid w:val="00A02DBC"/>
    <w:rsid w:val="00A30D42"/>
    <w:rsid w:val="00A40B51"/>
    <w:rsid w:val="00A44F93"/>
    <w:rsid w:val="00A4687D"/>
    <w:rsid w:val="00A51B04"/>
    <w:rsid w:val="00A546F0"/>
    <w:rsid w:val="00A85E0E"/>
    <w:rsid w:val="00A90035"/>
    <w:rsid w:val="00A9394D"/>
    <w:rsid w:val="00A971F0"/>
    <w:rsid w:val="00A97D33"/>
    <w:rsid w:val="00AC5246"/>
    <w:rsid w:val="00AD7000"/>
    <w:rsid w:val="00AE2A05"/>
    <w:rsid w:val="00AE2D0A"/>
    <w:rsid w:val="00AF2734"/>
    <w:rsid w:val="00B16292"/>
    <w:rsid w:val="00B249C7"/>
    <w:rsid w:val="00B254B1"/>
    <w:rsid w:val="00B47E7C"/>
    <w:rsid w:val="00B75628"/>
    <w:rsid w:val="00BA49CB"/>
    <w:rsid w:val="00BB72E6"/>
    <w:rsid w:val="00BD4024"/>
    <w:rsid w:val="00BE2C00"/>
    <w:rsid w:val="00BE3982"/>
    <w:rsid w:val="00BE5727"/>
    <w:rsid w:val="00BE6C99"/>
    <w:rsid w:val="00BF33E8"/>
    <w:rsid w:val="00BF4582"/>
    <w:rsid w:val="00C12B4B"/>
    <w:rsid w:val="00C259A1"/>
    <w:rsid w:val="00C26C38"/>
    <w:rsid w:val="00C43510"/>
    <w:rsid w:val="00C60EE4"/>
    <w:rsid w:val="00C7658D"/>
    <w:rsid w:val="00C77C5D"/>
    <w:rsid w:val="00C77DCE"/>
    <w:rsid w:val="00C8068C"/>
    <w:rsid w:val="00C812BC"/>
    <w:rsid w:val="00CB5232"/>
    <w:rsid w:val="00CB584C"/>
    <w:rsid w:val="00CC41E4"/>
    <w:rsid w:val="00CE1837"/>
    <w:rsid w:val="00CE2354"/>
    <w:rsid w:val="00CE50FD"/>
    <w:rsid w:val="00CE602D"/>
    <w:rsid w:val="00CE6F62"/>
    <w:rsid w:val="00CF77B4"/>
    <w:rsid w:val="00D0071E"/>
    <w:rsid w:val="00D121E7"/>
    <w:rsid w:val="00D17A32"/>
    <w:rsid w:val="00D25346"/>
    <w:rsid w:val="00D577D3"/>
    <w:rsid w:val="00D87C2A"/>
    <w:rsid w:val="00D90957"/>
    <w:rsid w:val="00D933FD"/>
    <w:rsid w:val="00D945D1"/>
    <w:rsid w:val="00D95CBD"/>
    <w:rsid w:val="00DA5277"/>
    <w:rsid w:val="00DA64F5"/>
    <w:rsid w:val="00DB01BC"/>
    <w:rsid w:val="00DD5256"/>
    <w:rsid w:val="00DF48EC"/>
    <w:rsid w:val="00E04797"/>
    <w:rsid w:val="00E262BD"/>
    <w:rsid w:val="00E321D3"/>
    <w:rsid w:val="00E36CEF"/>
    <w:rsid w:val="00E41718"/>
    <w:rsid w:val="00E44BCC"/>
    <w:rsid w:val="00E74F3E"/>
    <w:rsid w:val="00E8706C"/>
    <w:rsid w:val="00E94403"/>
    <w:rsid w:val="00EA020F"/>
    <w:rsid w:val="00EA3D02"/>
    <w:rsid w:val="00EC049B"/>
    <w:rsid w:val="00EC3F11"/>
    <w:rsid w:val="00EE038C"/>
    <w:rsid w:val="00F10C02"/>
    <w:rsid w:val="00F147A9"/>
    <w:rsid w:val="00F35B1B"/>
    <w:rsid w:val="00F51FF6"/>
    <w:rsid w:val="00F63D92"/>
    <w:rsid w:val="00F84ADC"/>
    <w:rsid w:val="00F969A8"/>
    <w:rsid w:val="00FA3A8F"/>
    <w:rsid w:val="00FA4D96"/>
    <w:rsid w:val="00FB062D"/>
    <w:rsid w:val="00FD7E9B"/>
    <w:rsid w:val="00FF5D3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2C0"/>
  <w15:chartTrackingRefBased/>
  <w15:docId w15:val="{5DA3B20D-F559-4E6C-AFD5-86550866E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718"/>
    <w:pPr>
      <w:spacing w:line="260" w:lineRule="atLeast"/>
      <w:jc w:val="both"/>
    </w:pPr>
    <w:rPr>
      <w:rFonts w:ascii="Palatino Linotype" w:hAnsi="Palatino Linotype"/>
      <w:noProof/>
      <w:color w:val="000000"/>
    </w:rPr>
  </w:style>
  <w:style w:type="paragraph" w:styleId="Ttulo1">
    <w:name w:val="heading 1"/>
    <w:basedOn w:val="Normal"/>
    <w:next w:val="Normal"/>
    <w:link w:val="Ttulo1Char"/>
    <w:uiPriority w:val="9"/>
    <w:qFormat/>
    <w:rsid w:val="0029111A"/>
    <w:pPr>
      <w:keepNext/>
      <w:keepLines/>
      <w:spacing w:before="240" w:line="259" w:lineRule="auto"/>
      <w:jc w:val="left"/>
      <w:outlineLvl w:val="0"/>
    </w:pPr>
    <w:rPr>
      <w:rFonts w:asciiTheme="majorHAnsi" w:eastAsiaTheme="majorEastAsia" w:hAnsiTheme="majorHAnsi" w:cstheme="majorBidi"/>
      <w:noProof w:val="0"/>
      <w:color w:val="2F5496" w:themeColor="accent1" w:themeShade="BF"/>
      <w:sz w:val="32"/>
      <w:szCs w:val="32"/>
      <w:lang w:eastAsia="en-US"/>
    </w:rPr>
  </w:style>
  <w:style w:type="paragraph" w:styleId="Ttulo2">
    <w:name w:val="heading 2"/>
    <w:basedOn w:val="Normal"/>
    <w:next w:val="Normal"/>
    <w:link w:val="Ttulo2Char"/>
    <w:uiPriority w:val="9"/>
    <w:semiHidden/>
    <w:unhideWhenUsed/>
    <w:qFormat/>
    <w:rsid w:val="0029111A"/>
    <w:pPr>
      <w:keepNext/>
      <w:keepLines/>
      <w:spacing w:before="40" w:line="259" w:lineRule="auto"/>
      <w:jc w:val="left"/>
      <w:outlineLvl w:val="1"/>
    </w:pPr>
    <w:rPr>
      <w:rFonts w:asciiTheme="majorHAnsi" w:eastAsiaTheme="majorEastAsia" w:hAnsiTheme="majorHAnsi" w:cstheme="majorBidi"/>
      <w:noProof w:val="0"/>
      <w:color w:val="2F5496" w:themeColor="accent1" w:themeShade="BF"/>
      <w:sz w:val="26"/>
      <w:szCs w:val="26"/>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DPI11articletype">
    <w:name w:val="MDPI_1.1_article_type"/>
    <w:next w:val="Normal"/>
    <w:qFormat/>
    <w:rsid w:val="004E1718"/>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4E1718"/>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4E1718"/>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4E1718"/>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4E1718"/>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4E1718"/>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4E1718"/>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4E1718"/>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elanormal"/>
    <w:uiPriority w:val="99"/>
    <w:rsid w:val="0011127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acomgrade">
    <w:name w:val="Table Grid"/>
    <w:basedOn w:val="Tabelanormal"/>
    <w:uiPriority w:val="39"/>
    <w:rsid w:val="004E1718"/>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4E1718"/>
    <w:pPr>
      <w:pBdr>
        <w:bottom w:val="single" w:sz="6" w:space="1" w:color="auto"/>
      </w:pBdr>
      <w:tabs>
        <w:tab w:val="center" w:pos="4153"/>
        <w:tab w:val="right" w:pos="8306"/>
      </w:tabs>
      <w:snapToGrid w:val="0"/>
      <w:spacing w:line="240" w:lineRule="atLeast"/>
      <w:jc w:val="center"/>
    </w:pPr>
    <w:rPr>
      <w:szCs w:val="18"/>
    </w:rPr>
  </w:style>
  <w:style w:type="character" w:customStyle="1" w:styleId="CabealhoChar">
    <w:name w:val="Cabeçalho Char"/>
    <w:link w:val="Cabealho"/>
    <w:uiPriority w:val="99"/>
    <w:rsid w:val="004E1718"/>
    <w:rPr>
      <w:rFonts w:ascii="Palatino Linotype" w:hAnsi="Palatino Linotype"/>
      <w:noProof/>
      <w:color w:val="000000"/>
      <w:szCs w:val="18"/>
    </w:rPr>
  </w:style>
  <w:style w:type="paragraph" w:customStyle="1" w:styleId="MDPIheaderjournallogo">
    <w:name w:val="MDPI_header_journal_logo"/>
    <w:qFormat/>
    <w:rsid w:val="004E1718"/>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4E1718"/>
    <w:pPr>
      <w:ind w:firstLine="0"/>
    </w:pPr>
  </w:style>
  <w:style w:type="paragraph" w:customStyle="1" w:styleId="MDPI31text">
    <w:name w:val="MDPI_3.1_text"/>
    <w:qFormat/>
    <w:rsid w:val="004E52AA"/>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4E1718"/>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4E1718"/>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4E171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4E1718"/>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293382"/>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293382"/>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4E1718"/>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4E1718"/>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4E1718"/>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0E6890"/>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4E1718"/>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4E1718"/>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4E1718"/>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4E1718"/>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4E1718"/>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4E1718"/>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4E1718"/>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4E1718"/>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BF33E8"/>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xtodebalo">
    <w:name w:val="Balloon Text"/>
    <w:basedOn w:val="Normal"/>
    <w:link w:val="TextodebaloChar"/>
    <w:uiPriority w:val="99"/>
    <w:rsid w:val="004E1718"/>
    <w:rPr>
      <w:rFonts w:cs="Tahoma"/>
      <w:szCs w:val="18"/>
    </w:rPr>
  </w:style>
  <w:style w:type="character" w:customStyle="1" w:styleId="TextodebaloChar">
    <w:name w:val="Texto de balão Char"/>
    <w:link w:val="Textodebalo"/>
    <w:uiPriority w:val="99"/>
    <w:rsid w:val="004E1718"/>
    <w:rPr>
      <w:rFonts w:ascii="Palatino Linotype" w:hAnsi="Palatino Linotype" w:cs="Tahoma"/>
      <w:noProof/>
      <w:color w:val="000000"/>
      <w:szCs w:val="18"/>
    </w:rPr>
  </w:style>
  <w:style w:type="character" w:styleId="Nmerodelinha">
    <w:name w:val="line number"/>
    <w:uiPriority w:val="99"/>
    <w:rsid w:val="00F35B1B"/>
    <w:rPr>
      <w:rFonts w:ascii="Palatino Linotype" w:hAnsi="Palatino Linotype"/>
      <w:sz w:val="16"/>
    </w:rPr>
  </w:style>
  <w:style w:type="table" w:customStyle="1" w:styleId="MDPI41threelinetable">
    <w:name w:val="MDPI_4.1_three_line_table"/>
    <w:basedOn w:val="Tabelanormal"/>
    <w:uiPriority w:val="99"/>
    <w:rsid w:val="004E1718"/>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4E1718"/>
    <w:rPr>
      <w:color w:val="0000FF"/>
      <w:u w:val="single"/>
    </w:rPr>
  </w:style>
  <w:style w:type="character" w:styleId="MenoPendente">
    <w:name w:val="Unresolved Mention"/>
    <w:uiPriority w:val="99"/>
    <w:semiHidden/>
    <w:unhideWhenUsed/>
    <w:rsid w:val="00BE3982"/>
    <w:rPr>
      <w:color w:val="605E5C"/>
      <w:shd w:val="clear" w:color="auto" w:fill="E1DFDD"/>
    </w:rPr>
  </w:style>
  <w:style w:type="paragraph" w:styleId="Rodap">
    <w:name w:val="footer"/>
    <w:basedOn w:val="Normal"/>
    <w:link w:val="RodapChar"/>
    <w:uiPriority w:val="99"/>
    <w:rsid w:val="004E1718"/>
    <w:pPr>
      <w:tabs>
        <w:tab w:val="center" w:pos="4153"/>
        <w:tab w:val="right" w:pos="8306"/>
      </w:tabs>
      <w:snapToGrid w:val="0"/>
      <w:spacing w:line="240" w:lineRule="atLeast"/>
    </w:pPr>
    <w:rPr>
      <w:szCs w:val="18"/>
    </w:rPr>
  </w:style>
  <w:style w:type="character" w:customStyle="1" w:styleId="RodapChar">
    <w:name w:val="Rodapé Char"/>
    <w:link w:val="Rodap"/>
    <w:uiPriority w:val="99"/>
    <w:rsid w:val="004E1718"/>
    <w:rPr>
      <w:rFonts w:ascii="Palatino Linotype" w:hAnsi="Palatino Linotype"/>
      <w:noProof/>
      <w:color w:val="000000"/>
      <w:szCs w:val="18"/>
    </w:rPr>
  </w:style>
  <w:style w:type="table" w:styleId="TabelaSimples4">
    <w:name w:val="Plain Table 4"/>
    <w:basedOn w:val="Tabelanormal"/>
    <w:uiPriority w:val="44"/>
    <w:rsid w:val="00990A0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4E1718"/>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4E1718"/>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4E1718"/>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847FA1"/>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4E1718"/>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4E1718"/>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4E1718"/>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4E1718"/>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4E1718"/>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4E1718"/>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4E1718"/>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4E1718"/>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4E1718"/>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4E1718"/>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4E1718"/>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elanormal"/>
    <w:uiPriority w:val="99"/>
    <w:rsid w:val="004E1718"/>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4E1718"/>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4E1718"/>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4E1718"/>
  </w:style>
  <w:style w:type="paragraph" w:styleId="Bibliografia">
    <w:name w:val="Bibliography"/>
    <w:basedOn w:val="Normal"/>
    <w:next w:val="Normal"/>
    <w:uiPriority w:val="37"/>
    <w:semiHidden/>
    <w:unhideWhenUsed/>
    <w:rsid w:val="004E1718"/>
  </w:style>
  <w:style w:type="paragraph" w:styleId="Corpodetexto">
    <w:name w:val="Body Text"/>
    <w:link w:val="CorpodetextoChar"/>
    <w:rsid w:val="004E1718"/>
    <w:pPr>
      <w:spacing w:after="120" w:line="340" w:lineRule="atLeast"/>
      <w:jc w:val="both"/>
    </w:pPr>
    <w:rPr>
      <w:rFonts w:ascii="Palatino Linotype" w:hAnsi="Palatino Linotype"/>
      <w:color w:val="000000"/>
      <w:sz w:val="24"/>
      <w:lang w:eastAsia="de-DE"/>
    </w:rPr>
  </w:style>
  <w:style w:type="character" w:customStyle="1" w:styleId="CorpodetextoChar">
    <w:name w:val="Corpo de texto Char"/>
    <w:link w:val="Corpodetexto"/>
    <w:rsid w:val="004E1718"/>
    <w:rPr>
      <w:rFonts w:ascii="Palatino Linotype" w:hAnsi="Palatino Linotype"/>
      <w:color w:val="000000"/>
      <w:sz w:val="24"/>
      <w:lang w:eastAsia="de-DE"/>
    </w:rPr>
  </w:style>
  <w:style w:type="character" w:styleId="Refdecomentrio">
    <w:name w:val="annotation reference"/>
    <w:uiPriority w:val="99"/>
    <w:rsid w:val="004E1718"/>
    <w:rPr>
      <w:sz w:val="21"/>
      <w:szCs w:val="21"/>
    </w:rPr>
  </w:style>
  <w:style w:type="paragraph" w:styleId="Textodecomentrio">
    <w:name w:val="annotation text"/>
    <w:basedOn w:val="Normal"/>
    <w:link w:val="TextodecomentrioChar"/>
    <w:uiPriority w:val="99"/>
    <w:rsid w:val="004E1718"/>
  </w:style>
  <w:style w:type="character" w:customStyle="1" w:styleId="TextodecomentrioChar">
    <w:name w:val="Texto de comentário Char"/>
    <w:link w:val="Textodecomentrio"/>
    <w:uiPriority w:val="99"/>
    <w:rsid w:val="004E1718"/>
    <w:rPr>
      <w:rFonts w:ascii="Palatino Linotype" w:hAnsi="Palatino Linotype"/>
      <w:noProof/>
      <w:color w:val="000000"/>
    </w:rPr>
  </w:style>
  <w:style w:type="paragraph" w:styleId="Assuntodocomentrio">
    <w:name w:val="annotation subject"/>
    <w:basedOn w:val="Textodecomentrio"/>
    <w:next w:val="Textodecomentrio"/>
    <w:link w:val="AssuntodocomentrioChar"/>
    <w:uiPriority w:val="99"/>
    <w:rsid w:val="004E1718"/>
    <w:rPr>
      <w:b/>
      <w:bCs/>
    </w:rPr>
  </w:style>
  <w:style w:type="character" w:customStyle="1" w:styleId="AssuntodocomentrioChar">
    <w:name w:val="Assunto do comentário Char"/>
    <w:link w:val="Assuntodocomentrio"/>
    <w:uiPriority w:val="99"/>
    <w:rsid w:val="004E1718"/>
    <w:rPr>
      <w:rFonts w:ascii="Palatino Linotype" w:hAnsi="Palatino Linotype"/>
      <w:b/>
      <w:bCs/>
      <w:noProof/>
      <w:color w:val="000000"/>
    </w:rPr>
  </w:style>
  <w:style w:type="character" w:styleId="Refdenotadefim">
    <w:name w:val="endnote reference"/>
    <w:rsid w:val="004E1718"/>
    <w:rPr>
      <w:vertAlign w:val="superscript"/>
    </w:rPr>
  </w:style>
  <w:style w:type="paragraph" w:styleId="Textodenotadefim">
    <w:name w:val="endnote text"/>
    <w:basedOn w:val="Normal"/>
    <w:link w:val="TextodenotadefimChar"/>
    <w:semiHidden/>
    <w:unhideWhenUsed/>
    <w:rsid w:val="004E1718"/>
    <w:pPr>
      <w:spacing w:line="240" w:lineRule="auto"/>
    </w:pPr>
  </w:style>
  <w:style w:type="character" w:customStyle="1" w:styleId="TextodenotadefimChar">
    <w:name w:val="Texto de nota de fim Char"/>
    <w:link w:val="Textodenotadefim"/>
    <w:semiHidden/>
    <w:rsid w:val="004E1718"/>
    <w:rPr>
      <w:rFonts w:ascii="Palatino Linotype" w:hAnsi="Palatino Linotype"/>
      <w:noProof/>
      <w:color w:val="000000"/>
    </w:rPr>
  </w:style>
  <w:style w:type="character" w:styleId="HiperlinkVisitado">
    <w:name w:val="FollowedHyperlink"/>
    <w:rsid w:val="004E1718"/>
    <w:rPr>
      <w:color w:val="954F72"/>
      <w:u w:val="single"/>
    </w:rPr>
  </w:style>
  <w:style w:type="paragraph" w:styleId="Textodenotaderodap">
    <w:name w:val="footnote text"/>
    <w:basedOn w:val="Normal"/>
    <w:link w:val="TextodenotaderodapChar"/>
    <w:semiHidden/>
    <w:unhideWhenUsed/>
    <w:rsid w:val="004E1718"/>
    <w:pPr>
      <w:spacing w:line="240" w:lineRule="auto"/>
    </w:pPr>
  </w:style>
  <w:style w:type="character" w:customStyle="1" w:styleId="TextodenotaderodapChar">
    <w:name w:val="Texto de nota de rodapé Char"/>
    <w:link w:val="Textodenotaderodap"/>
    <w:semiHidden/>
    <w:rsid w:val="004E1718"/>
    <w:rPr>
      <w:rFonts w:ascii="Palatino Linotype" w:hAnsi="Palatino Linotype"/>
      <w:noProof/>
      <w:color w:val="000000"/>
    </w:rPr>
  </w:style>
  <w:style w:type="paragraph" w:styleId="NormalWeb">
    <w:name w:val="Normal (Web)"/>
    <w:basedOn w:val="Normal"/>
    <w:uiPriority w:val="99"/>
    <w:rsid w:val="004E1718"/>
    <w:rPr>
      <w:szCs w:val="24"/>
    </w:rPr>
  </w:style>
  <w:style w:type="paragraph" w:customStyle="1" w:styleId="MsoFootnoteText0">
    <w:name w:val="MsoFootnoteText"/>
    <w:basedOn w:val="NormalWeb"/>
    <w:qFormat/>
    <w:rsid w:val="004E1718"/>
    <w:rPr>
      <w:rFonts w:ascii="Times New Roman" w:hAnsi="Times New Roman"/>
    </w:rPr>
  </w:style>
  <w:style w:type="character" w:styleId="Nmerodepgina">
    <w:name w:val="page number"/>
    <w:rsid w:val="004E1718"/>
  </w:style>
  <w:style w:type="character" w:styleId="TextodoEspaoReservado">
    <w:name w:val="Placeholder Text"/>
    <w:uiPriority w:val="99"/>
    <w:semiHidden/>
    <w:rsid w:val="004E1718"/>
    <w:rPr>
      <w:color w:val="808080"/>
    </w:rPr>
  </w:style>
  <w:style w:type="paragraph" w:customStyle="1" w:styleId="MDPI71FootNotes">
    <w:name w:val="MDPI_7.1_FootNotes"/>
    <w:qFormat/>
    <w:rsid w:val="000E77B9"/>
    <w:pPr>
      <w:numPr>
        <w:numId w:val="21"/>
      </w:numPr>
      <w:adjustRightInd w:val="0"/>
      <w:snapToGrid w:val="0"/>
      <w:spacing w:line="228" w:lineRule="auto"/>
    </w:pPr>
    <w:rPr>
      <w:rFonts w:ascii="Palatino Linotype" w:eastAsiaTheme="minorEastAsia" w:hAnsi="Palatino Linotype"/>
      <w:noProof/>
      <w:color w:val="000000"/>
      <w:sz w:val="18"/>
    </w:rPr>
  </w:style>
  <w:style w:type="table" w:styleId="SimplesTabela2">
    <w:name w:val="Plain Table 2"/>
    <w:basedOn w:val="Tabelanormal"/>
    <w:uiPriority w:val="42"/>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tulo1Char">
    <w:name w:val="Título 1 Char"/>
    <w:basedOn w:val="Fontepargpadro"/>
    <w:link w:val="Ttulo1"/>
    <w:uiPriority w:val="9"/>
    <w:rsid w:val="0029111A"/>
    <w:rPr>
      <w:rFonts w:asciiTheme="majorHAnsi" w:eastAsiaTheme="majorEastAsia" w:hAnsiTheme="majorHAnsi" w:cstheme="majorBidi"/>
      <w:color w:val="2F5496" w:themeColor="accent1" w:themeShade="BF"/>
      <w:sz w:val="32"/>
      <w:szCs w:val="32"/>
      <w:lang w:eastAsia="en-US"/>
    </w:rPr>
  </w:style>
  <w:style w:type="character" w:customStyle="1" w:styleId="Ttulo2Char">
    <w:name w:val="Título 2 Char"/>
    <w:basedOn w:val="Fontepargpadro"/>
    <w:link w:val="Ttulo2"/>
    <w:uiPriority w:val="9"/>
    <w:semiHidden/>
    <w:rsid w:val="0029111A"/>
    <w:rPr>
      <w:rFonts w:asciiTheme="majorHAnsi" w:eastAsiaTheme="majorEastAsia" w:hAnsiTheme="majorHAnsi" w:cstheme="majorBidi"/>
      <w:color w:val="2F5496" w:themeColor="accent1" w:themeShade="BF"/>
      <w:sz w:val="26"/>
      <w:szCs w:val="26"/>
      <w:lang w:eastAsia="en-US"/>
    </w:rPr>
  </w:style>
  <w:style w:type="paragraph" w:styleId="PargrafodaLista">
    <w:name w:val="List Paragraph"/>
    <w:basedOn w:val="Normal"/>
    <w:uiPriority w:val="34"/>
    <w:qFormat/>
    <w:rsid w:val="0029111A"/>
    <w:pPr>
      <w:spacing w:after="160" w:line="259" w:lineRule="auto"/>
      <w:ind w:left="720"/>
      <w:contextualSpacing/>
      <w:jc w:val="left"/>
    </w:pPr>
    <w:rPr>
      <w:rFonts w:asciiTheme="minorHAnsi" w:eastAsiaTheme="minorHAnsi" w:hAnsiTheme="minorHAnsi" w:cstheme="minorBidi"/>
      <w:noProof w:val="0"/>
      <w:color w:val="auto"/>
      <w:sz w:val="22"/>
      <w:szCs w:val="22"/>
      <w:lang w:eastAsia="en-US"/>
    </w:rPr>
  </w:style>
  <w:style w:type="table" w:styleId="SimplesTabela1">
    <w:name w:val="Plain Table 1"/>
    <w:basedOn w:val="Tabelanormal"/>
    <w:uiPriority w:val="41"/>
    <w:rsid w:val="0029111A"/>
    <w:rPr>
      <w:rFonts w:asciiTheme="minorHAnsi" w:eastAsiaTheme="minorHAnsi" w:hAnsiTheme="minorHAnsi" w:cstheme="minorBidi"/>
      <w:sz w:val="22"/>
      <w:szCs w:val="22"/>
      <w:lang w:val="pt-BR"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29111A"/>
    <w:rPr>
      <w:rFonts w:asciiTheme="minorHAnsi" w:eastAsiaTheme="minorHAnsi" w:hAnsiTheme="minorHAnsi" w:cstheme="minorBidi"/>
      <w:sz w:val="22"/>
      <w:szCs w:val="22"/>
      <w:lang w:val="pt-BR"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29111A"/>
    <w:rPr>
      <w:rFonts w:asciiTheme="minorHAnsi" w:eastAsiaTheme="minorHAnsi" w:hAnsiTheme="minorHAnsi" w:cstheme="minorBidi"/>
      <w:sz w:val="22"/>
      <w:szCs w:val="22"/>
      <w:lang w:val="pt-B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9111A"/>
    <w:pPr>
      <w:spacing w:line="259" w:lineRule="auto"/>
      <w:jc w:val="center"/>
    </w:pPr>
    <w:rPr>
      <w:rFonts w:eastAsiaTheme="minorHAnsi" w:cs="Calibri"/>
      <w:color w:val="auto"/>
      <w:sz w:val="18"/>
      <w:szCs w:val="22"/>
      <w:lang w:eastAsia="en-US"/>
    </w:rPr>
  </w:style>
  <w:style w:type="character" w:customStyle="1" w:styleId="EndNoteBibliographyTitleChar">
    <w:name w:val="EndNote Bibliography Title Char"/>
    <w:basedOn w:val="Fontepargpadro"/>
    <w:link w:val="EndNoteBibliographyTitle"/>
    <w:rsid w:val="0029111A"/>
    <w:rPr>
      <w:rFonts w:ascii="Palatino Linotype" w:eastAsiaTheme="minorHAnsi" w:hAnsi="Palatino Linotype" w:cs="Calibri"/>
      <w:noProof/>
      <w:sz w:val="18"/>
      <w:szCs w:val="22"/>
      <w:lang w:eastAsia="en-US"/>
    </w:rPr>
  </w:style>
  <w:style w:type="paragraph" w:customStyle="1" w:styleId="EndNoteBibliography">
    <w:name w:val="EndNote Bibliography"/>
    <w:basedOn w:val="Normal"/>
    <w:link w:val="EndNoteBibliographyChar"/>
    <w:rsid w:val="0029111A"/>
    <w:pPr>
      <w:spacing w:after="160" w:line="240" w:lineRule="auto"/>
      <w:jc w:val="left"/>
    </w:pPr>
    <w:rPr>
      <w:rFonts w:eastAsiaTheme="minorHAnsi" w:cs="Calibri"/>
      <w:color w:val="auto"/>
      <w:sz w:val="18"/>
      <w:szCs w:val="22"/>
      <w:lang w:eastAsia="en-US"/>
    </w:rPr>
  </w:style>
  <w:style w:type="character" w:customStyle="1" w:styleId="EndNoteBibliographyChar">
    <w:name w:val="EndNote Bibliography Char"/>
    <w:basedOn w:val="Fontepargpadro"/>
    <w:link w:val="EndNoteBibliography"/>
    <w:rsid w:val="0029111A"/>
    <w:rPr>
      <w:rFonts w:ascii="Palatino Linotype" w:eastAsiaTheme="minorHAnsi" w:hAnsi="Palatino Linotype" w:cs="Calibri"/>
      <w:noProof/>
      <w:sz w:val="18"/>
      <w:szCs w:val="22"/>
      <w:lang w:eastAsia="en-US"/>
    </w:rPr>
  </w:style>
  <w:style w:type="table" w:styleId="TabeladeLista1Clara-nfase3">
    <w:name w:val="List Table 1 Light Accent 3"/>
    <w:basedOn w:val="Tabelanormal"/>
    <w:uiPriority w:val="46"/>
    <w:rsid w:val="0029111A"/>
    <w:rPr>
      <w:rFonts w:asciiTheme="minorHAnsi" w:eastAsiaTheme="minorHAnsi" w:hAnsiTheme="minorHAnsi" w:cstheme="minorBidi"/>
      <w:sz w:val="22"/>
      <w:szCs w:val="22"/>
      <w:lang w:val="pt-BR" w:eastAsia="en-US"/>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29111A"/>
    <w:rPr>
      <w:rFonts w:asciiTheme="minorHAnsi" w:eastAsiaTheme="minorHAnsi" w:hAnsiTheme="minorHAnsi" w:cstheme="minorBidi"/>
      <w:color w:val="000000" w:themeColor="text1"/>
      <w:sz w:val="22"/>
      <w:szCs w:val="22"/>
      <w:lang w:val="pt-BR"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egenda">
    <w:name w:val="caption"/>
    <w:basedOn w:val="Normal"/>
    <w:next w:val="Normal"/>
    <w:uiPriority w:val="35"/>
    <w:unhideWhenUsed/>
    <w:qFormat/>
    <w:rsid w:val="0029111A"/>
    <w:pPr>
      <w:spacing w:after="200" w:line="240" w:lineRule="auto"/>
      <w:jc w:val="left"/>
    </w:pPr>
    <w:rPr>
      <w:rFonts w:asciiTheme="minorHAnsi" w:eastAsiaTheme="minorHAnsi" w:hAnsiTheme="minorHAnsi" w:cstheme="minorBidi"/>
      <w:i/>
      <w:iCs/>
      <w:noProof w:val="0"/>
      <w:color w:val="44546A" w:themeColor="text2"/>
      <w:sz w:val="18"/>
      <w:szCs w:val="18"/>
      <w:lang w:eastAsia="en-US"/>
    </w:rPr>
  </w:style>
  <w:style w:type="paragraph" w:styleId="Reviso">
    <w:name w:val="Revision"/>
    <w:hidden/>
    <w:uiPriority w:val="99"/>
    <w:semiHidden/>
    <w:rsid w:val="0029111A"/>
    <w:rPr>
      <w:rFonts w:asciiTheme="minorHAnsi" w:eastAsiaTheme="minorHAnsi" w:hAnsiTheme="minorHAnsi" w:cstheme="minorBidi"/>
      <w:sz w:val="22"/>
      <w:szCs w:val="22"/>
      <w:lang w:val="pt-B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orz\Desktop\Artigos%20Acad&#234;micos%20de%20minha%20autoria\3%20-%20Development%20of%20disposable%20and%20flexible%20supercapacitor%20based%20on%20carbonaceous%20and%20ecofriendly%20%20materials\carbon-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carbon-template</Template>
  <TotalTime>277</TotalTime>
  <Pages>17</Pages>
  <Words>13351</Words>
  <Characters>72099</Characters>
  <Application>Microsoft Office Word</Application>
  <DocSecurity>0</DocSecurity>
  <Lines>600</Lines>
  <Paragraphs>170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85280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Luiz Orzari</dc:creator>
  <cp:keywords/>
  <dc:description/>
  <cp:lastModifiedBy>Luiz Orzari</cp:lastModifiedBy>
  <cp:revision>17</cp:revision>
  <dcterms:created xsi:type="dcterms:W3CDTF">2022-04-20T16:26:00Z</dcterms:created>
  <dcterms:modified xsi:type="dcterms:W3CDTF">2022-05-18T11:47:00Z</dcterms:modified>
</cp:coreProperties>
</file>